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MACOM Technology Solutions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001-35451</w:t>
            </w:r>
          </w:p>
        </w:tc>
        <w:tc>
          <w:tcPr>
            <w:tcW w:w="38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27-0306875</w:t>
            </w:r>
          </w:p>
        </w:tc>
      </w:tr>
      <w:tr>
        <w:trPr>
          <w:trHeight w:val="189"/>
        </w:trPr>
        <w:tc>
          <w:tcPr>
            <w:tcW w:w="3960" w:type="dxa"/>
            <w:vAlign w:val="bottom"/>
          </w:tcPr>
          <w:p>
            <w:pPr>
              <w:jc w:val="center"/>
              <w:ind w:left="3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3840" w:type="dxa"/>
            <w:vAlign w:val="bottom"/>
          </w:tcPr>
          <w:p>
            <w:pPr>
              <w:spacing w:after="0"/>
              <w:rPr>
                <w:sz w:val="16"/>
                <w:szCs w:val="16"/>
                <w:color w:val="auto"/>
              </w:rPr>
            </w:pPr>
          </w:p>
        </w:tc>
      </w:tr>
      <w:tr>
        <w:trPr>
          <w:trHeight w:val="234"/>
        </w:trPr>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or organization)</w:t>
            </w:r>
          </w:p>
        </w:tc>
        <w:tc>
          <w:tcPr>
            <w:tcW w:w="3440" w:type="dxa"/>
            <w:vAlign w:val="bottom"/>
          </w:tcPr>
          <w:p>
            <w:pPr>
              <w:spacing w:after="0"/>
              <w:rPr>
                <w:sz w:val="20"/>
                <w:szCs w:val="20"/>
                <w:color w:val="auto"/>
              </w:rPr>
            </w:pPr>
          </w:p>
        </w:tc>
        <w:tc>
          <w:tcPr>
            <w:tcW w:w="38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50"/>
        </w:trPr>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100 Chelmsford Street</w:t>
            </w:r>
          </w:p>
        </w:tc>
        <w:tc>
          <w:tcPr>
            <w:tcW w:w="3440" w:type="dxa"/>
            <w:vAlign w:val="bottom"/>
          </w:tcPr>
          <w:p>
            <w:pPr>
              <w:spacing w:after="0"/>
              <w:rPr>
                <w:sz w:val="24"/>
                <w:szCs w:val="24"/>
                <w:color w:val="auto"/>
              </w:rPr>
            </w:pPr>
          </w:p>
        </w:tc>
        <w:tc>
          <w:tcPr>
            <w:tcW w:w="384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01851</w:t>
            </w:r>
          </w:p>
        </w:tc>
      </w:tr>
      <w:tr>
        <w:trPr>
          <w:trHeight w:val="234"/>
        </w:trPr>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Lowell, Massachusetts</w:t>
            </w:r>
          </w:p>
        </w:tc>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34"/>
        </w:trPr>
        <w:tc>
          <w:tcPr>
            <w:tcW w:w="3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40" w:type="dxa"/>
            <w:vAlign w:val="bottom"/>
          </w:tcPr>
          <w:p>
            <w:pPr>
              <w:spacing w:after="0"/>
              <w:rPr>
                <w:sz w:val="20"/>
                <w:szCs w:val="20"/>
                <w:color w:val="auto"/>
              </w:rPr>
            </w:pPr>
          </w:p>
        </w:tc>
        <w:tc>
          <w:tcPr>
            <w:tcW w:w="38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(Zip code)</w:t>
            </w:r>
          </w:p>
        </w:tc>
      </w:tr>
      <w:tr>
        <w:trPr>
          <w:trHeight w:val="666"/>
        </w:trPr>
        <w:tc>
          <w:tcPr>
            <w:tcW w:w="3960" w:type="dxa"/>
            <w:vAlign w:val="bottom"/>
          </w:tcPr>
          <w:p>
            <w:pPr>
              <w:spacing w:after="0"/>
              <w:rPr>
                <w:sz w:val="24"/>
                <w:szCs w:val="24"/>
                <w:color w:val="auto"/>
              </w:rPr>
            </w:pPr>
          </w:p>
        </w:tc>
        <w:tc>
          <w:tcPr>
            <w:tcW w:w="3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Stephen G. Daly (President and Chief</w:t>
            </w:r>
          </w:p>
        </w:tc>
        <w:tc>
          <w:tcPr>
            <w:tcW w:w="3840" w:type="dxa"/>
            <w:vAlign w:val="bottom"/>
          </w:tcPr>
          <w:p>
            <w:pPr>
              <w:spacing w:after="0"/>
              <w:rPr>
                <w:sz w:val="24"/>
                <w:szCs w:val="24"/>
                <w:color w:val="auto"/>
              </w:rPr>
            </w:pPr>
          </w:p>
        </w:tc>
      </w:tr>
      <w:tr>
        <w:trPr>
          <w:trHeight w:val="238"/>
        </w:trPr>
        <w:tc>
          <w:tcPr>
            <w:tcW w:w="3960" w:type="dxa"/>
            <w:vAlign w:val="bottom"/>
          </w:tcPr>
          <w:p>
            <w:pPr>
              <w:spacing w:after="0"/>
              <w:rPr>
                <w:sz w:val="20"/>
                <w:szCs w:val="20"/>
                <w:color w:val="auto"/>
              </w:rPr>
            </w:pPr>
          </w:p>
        </w:tc>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Executive Officer) (978) 656-2500</w:t>
            </w:r>
          </w:p>
        </w:tc>
        <w:tc>
          <w:tcPr>
            <w:tcW w:w="3840" w:type="dxa"/>
            <w:vAlign w:val="bottom"/>
          </w:tcPr>
          <w:p>
            <w:pPr>
              <w:spacing w:after="0"/>
              <w:rPr>
                <w:sz w:val="20"/>
                <w:szCs w:val="20"/>
                <w:color w:val="auto"/>
              </w:rPr>
            </w:pPr>
          </w:p>
        </w:tc>
      </w:tr>
      <w:tr>
        <w:trPr>
          <w:trHeight w:val="400"/>
        </w:trPr>
        <w:tc>
          <w:tcPr>
            <w:tcW w:w="3960" w:type="dxa"/>
            <w:vAlign w:val="bottom"/>
          </w:tcPr>
          <w:p>
            <w:pPr>
              <w:spacing w:after="0"/>
              <w:rPr>
                <w:sz w:val="24"/>
                <w:szCs w:val="24"/>
                <w:color w:val="auto"/>
              </w:rPr>
            </w:pPr>
          </w:p>
        </w:tc>
        <w:tc>
          <w:tcPr>
            <w:tcW w:w="3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(Name and telephone number, including</w:t>
            </w:r>
          </w:p>
        </w:tc>
        <w:tc>
          <w:tcPr>
            <w:tcW w:w="3840" w:type="dxa"/>
            <w:vAlign w:val="bottom"/>
          </w:tcPr>
          <w:p>
            <w:pPr>
              <w:spacing w:after="0"/>
              <w:rPr>
                <w:sz w:val="24"/>
                <w:szCs w:val="24"/>
                <w:color w:val="auto"/>
              </w:rPr>
            </w:pPr>
          </w:p>
        </w:tc>
      </w:tr>
      <w:tr>
        <w:trPr>
          <w:trHeight w:val="180"/>
        </w:trPr>
        <w:tc>
          <w:tcPr>
            <w:tcW w:w="3960" w:type="dxa"/>
            <w:vAlign w:val="bottom"/>
          </w:tcPr>
          <w:p>
            <w:pPr>
              <w:spacing w:after="0"/>
              <w:rPr>
                <w:sz w:val="15"/>
                <w:szCs w:val="15"/>
                <w:color w:val="auto"/>
              </w:rPr>
            </w:pPr>
          </w:p>
        </w:tc>
        <w:tc>
          <w:tcPr>
            <w:tcW w:w="344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9"/>
              </w:rPr>
              <w:t>area code, of the person to contact in</w:t>
            </w:r>
          </w:p>
        </w:tc>
        <w:tc>
          <w:tcPr>
            <w:tcW w:w="3840" w:type="dxa"/>
            <w:vAlign w:val="bottom"/>
          </w:tcPr>
          <w:p>
            <w:pPr>
              <w:spacing w:after="0"/>
              <w:rPr>
                <w:sz w:val="15"/>
                <w:szCs w:val="15"/>
                <w:color w:val="auto"/>
              </w:rPr>
            </w:pPr>
          </w:p>
        </w:tc>
      </w:tr>
      <w:tr>
        <w:trPr>
          <w:trHeight w:val="234"/>
        </w:trPr>
        <w:tc>
          <w:tcPr>
            <w:tcW w:w="3960" w:type="dxa"/>
            <w:vAlign w:val="bottom"/>
          </w:tcPr>
          <w:p>
            <w:pPr>
              <w:spacing w:after="0"/>
              <w:rPr>
                <w:sz w:val="20"/>
                <w:szCs w:val="20"/>
                <w:color w:val="auto"/>
              </w:rPr>
            </w:pPr>
          </w:p>
        </w:tc>
        <w:tc>
          <w:tcPr>
            <w:tcW w:w="3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connection with this report)</w:t>
            </w:r>
          </w:p>
        </w:tc>
        <w:tc>
          <w:tcPr>
            <w:tcW w:w="3840" w:type="dxa"/>
            <w:vAlign w:val="bottom"/>
          </w:tcPr>
          <w:p>
            <w:pPr>
              <w:spacing w:after="0"/>
              <w:rPr>
                <w:sz w:val="20"/>
                <w:szCs w:val="20"/>
                <w:color w:val="auto"/>
              </w:rPr>
            </w:pPr>
          </w:p>
        </w:tc>
      </w:tr>
      <w:tr>
        <w:trPr>
          <w:trHeight w:val="299"/>
        </w:trPr>
        <w:tc>
          <w:tcPr>
            <w:tcW w:w="39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33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202" w:lineRule="exact"/>
        <w:rPr>
          <w:sz w:val="24"/>
          <w:szCs w:val="24"/>
          <w:color w:val="auto"/>
        </w:rPr>
      </w:pPr>
    </w:p>
    <w:p>
      <w:pPr>
        <w:ind w:left="500" w:right="1340" w:hanging="199"/>
        <w:spacing w:after="0" w:line="297"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 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Form SD is filed by MACOM Technology Solutions Holdings, Inc. (the “Company”) pursuant to Rule 13p-1 promulgated under the Securities Exchange Act of 1934, as amended, for the reporting period from January 1, 2025 to December 31, 2025.</w:t>
      </w:r>
    </w:p>
    <w:p>
      <w:pPr>
        <w:spacing w:after="0" w:line="54" w:lineRule="exact"/>
        <w:rPr>
          <w:sz w:val="20"/>
          <w:szCs w:val="20"/>
          <w:color w:val="auto"/>
        </w:rPr>
      </w:pPr>
    </w:p>
    <w:p>
      <w:pPr>
        <w:ind w:right="1760"/>
        <w:spacing w:after="0" w:line="282" w:lineRule="auto"/>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at https://www.macom.com/quality-reliability.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8" w:lineRule="exact"/>
        <w:rPr>
          <w:sz w:val="20"/>
          <w:szCs w:val="20"/>
          <w:color w:val="auto"/>
        </w:rPr>
      </w:pPr>
    </w:p>
    <w:p>
      <w:pPr>
        <w:ind w:left="2020"/>
        <w:spacing w:after="0"/>
        <w:tabs>
          <w:tab w:leader="none" w:pos="27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33655</wp:posOffset>
            </wp:positionV>
            <wp:extent cx="4740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0275" cy="8890"/>
                    </a:xfrm>
                    <a:prstGeom prst="rect">
                      <a:avLst/>
                    </a:prstGeom>
                    <a:noFill/>
                  </pic:spPr>
                </pic:pic>
              </a:graphicData>
            </a:graphic>
          </wp:anchor>
        </w:drawing>
      </w:r>
    </w:p>
    <w:p>
      <w:pPr>
        <w:spacing w:after="0" w:line="41" w:lineRule="exact"/>
        <w:rPr>
          <w:sz w:val="20"/>
          <w:szCs w:val="20"/>
          <w:color w:val="auto"/>
        </w:rPr>
      </w:pPr>
    </w:p>
    <w:p>
      <w:pPr>
        <w:ind w:left="1900"/>
        <w:spacing w:after="0"/>
        <w:tabs>
          <w:tab w:leader="none" w:pos="2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Conflict Minerals Report for the calendar year ended December 31, 2025.</w:t>
      </w:r>
    </w:p>
    <w:p>
      <w:pPr>
        <w:sectPr>
          <w:pgSz w:w="11900" w:h="16838" w:orient="portrait"/>
          <w:cols w:equalWidth="0" w:num="1">
            <w:col w:w="10660"/>
          </w:cols>
          <w:pgMar w:left="320" w:top="887" w:right="91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tc>
        <w:tc>
          <w:tcPr>
            <w:tcW w:w="2240" w:type="dxa"/>
            <w:vAlign w:val="bottom"/>
          </w:tcPr>
          <w:p>
            <w:pPr>
              <w:spacing w:after="0"/>
              <w:rPr>
                <w:sz w:val="20"/>
                <w:szCs w:val="20"/>
                <w:color w:val="auto"/>
              </w:rPr>
            </w:pPr>
          </w:p>
        </w:tc>
      </w:tr>
      <w:tr>
        <w:trPr>
          <w:trHeight w:val="59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Stephen G. Daly</w:t>
            </w:r>
          </w:p>
        </w:tc>
        <w:tc>
          <w:tcPr>
            <w:tcW w:w="22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Date: May 29, 2026</w:t>
            </w:r>
          </w:p>
        </w:tc>
      </w:tr>
      <w:tr>
        <w:trPr>
          <w:trHeight w:val="218"/>
        </w:trPr>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Stephen G. Daly</w:t>
            </w:r>
          </w:p>
        </w:tc>
        <w:tc>
          <w:tcPr>
            <w:tcW w:w="14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2240" w:type="dxa"/>
            <w:vAlign w:val="bottom"/>
          </w:tcPr>
          <w:p>
            <w:pPr>
              <w:spacing w:after="0"/>
              <w:rPr>
                <w:sz w:val="20"/>
                <w:szCs w:val="20"/>
                <w:color w:val="auto"/>
              </w:rPr>
            </w:pPr>
          </w:p>
        </w:tc>
      </w:tr>
    </w:tbl>
    <w:p>
      <w:pPr>
        <w:sectPr>
          <w:pgSz w:w="11900" w:h="16838" w:orient="portrait"/>
          <w:cols w:equalWidth="0" w:num="1">
            <w:col w:w="10640"/>
          </w:cols>
          <w:pgMar w:left="320" w:top="887"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Conflict Minerals Report (“CMR”) for the year ended December 31, 2025 is being filed as provided for in Rule 13p-1 and Form SD under the Securities Exchange Act of 1934, as amended (collectively, the “Rule”). As used herein, “Conflict Minerals” or “3TG” are cassiterite, columbite-tantalite (“coltan”), gold, wolframite, and their derivatives, which are limited to tin, tantalum and tungsten.</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MACOM Technology Solutions Holdings, Inc., also referred to as “the Company,” “MACOM,” “we,” “our,” and “us” designs, develops and manufactures differentiated semiconductor products and solutions for the Industrial and Defense (“I&amp;D”), Data Center and Telecommunications (“Telecom”) industries for customers who demand high performance, quality and reliability. We are headquartered in Lowell, Massachusetts, with operational facilities throughout North America, Europe and Asia. We have more than 70 years of application expertise, combined with expertise in analog and mixed signal circuit design, compound semiconductor fabrication (including gallium arsenide (GaAs), gallium nitride (GaN), indium phosphide (InP) and specialized silicon), advanced packaging and back-end assembly and test. We offer a broad portfolio of thousands of standard and custom devices, which include integrated circuits (“ICs”), multi-chip modules (MCM), diodes, amplifiers, switches and switch limiters, passive and active components and radio frequency (“RF”) and optical subsystems, which make up dozens of product lines that service over 6,000 end customers in our three primary markets. Our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I&amp;D, which includes military and commercial radar, RF jammers, electronic countermeasures, communication data links, space-related electronics and various wired and wireless multi-market applications, which include industrial, medical, test and measurement and scientific applications; (2) Data Center, which includes intra-Data Center, Data Center Interconnect (DCI) applications, at 100G, 200G, 400G, 800G, 1.6T, 3.2T and higher speeds, enabled by our broad portfolio of analog ICs and photonic components for high speed connectivity customers; and (3) Telecom, which includes carrier infrastructure such as long-haul/metro, 5G and 6G infrastructure, satellite communications (“SATCOM”) and Fiber-to-the-X (FTTx)/passive optical network (PON), among others.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foregoing product categories contains in-scope products for purposes of our compliance with the Rule. Our in-scope products contained tantalum, tungsten, tin and gold, although not each of our in-scope products contained all of these minerals. We do not directly purchase 3TG from mines or smelters or refiners (together, the “SORs”) and instead only purchase products and components that contain 3TG.</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MACOM is committed to sourcing responsibly. We have adopted a policy and related procedures, as described below in this CMR, focused on our commitment to sourcing components and materials from suppliers that share our ethical values and that support compliance with MACOM’s disclosure obligations related to 3TG. MACOM further expects all suppliers to seek to purchase materials that contain 3TG from sources determined not to be involved in funding conflict in the Covered Countries and other regions of the world. MACOM does not seek to embargo sourcing from the Democratic Republic of the Congo and its adjoining countries (the “Covered Countries”).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and Due Diligence Processes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MACOM determined which of our products and components were potentially in-scope for the purposes of the Rule through product specifications, preliminary supplier analysis and other information known to us concerning the composition of our products. Following our scoping analysis, we also performed a “reasonable country of origin inquiry” (“RCOI”) on suppliers believed to have provided MACOM with materials or components containing 3TG necessary to the functionality or production of MACOM’s products (the “Suppliers”). Our RCOI is discussed in further detail later in this CMR.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3TG due diligence processes were based on the Organisation for Economic Co-operation and Development Due Diligence Guidance for Responsible Supply Chains of Minerals from Conflict-Affected and High-Risk Areas, including the Supplement on Tin, Tantalum and Tungsten and the Supplement on Gold (Third Edition) (the “OECD Due Diligence Guidance”). The OECD Due Diligence Guidance is an internationally recognized due diligence framework. Our diligence measures were based on certain processes put in place for the Company’s RCOI and included the following.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Management Systems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MACOM established management systems according to Step 1 of the OECD Due Diligence Guidance. MACOM’s systems included the following:</w:t>
      </w:r>
    </w:p>
    <w:p>
      <w:pPr>
        <w:spacing w:after="0" w:line="117" w:lineRule="exact"/>
        <w:rPr>
          <w:sz w:val="20"/>
          <w:szCs w:val="20"/>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 maintains a conflict minerals policy (the “Policy”). The Policy indicates that we expect our suppliers to use responsibly sourced 3TG in the products they sell to MACOM, and to put in place policies and procedures that support responsible sourcing of 3TG and otherwise are consistent with the Policy. The Policy is publicly available on MACOM’s website at https://www.macom.com/quality-reliability/supply-chain-responsibility and is sent to Suppliers as part of the RCOI process. The Policy is also referenced in customer communications.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 has structured internal management to support its 3TG compliance program. A member of the senior staff from the Compliance department leads a team directly responsible for the management of our 3TG compliance program. The team also includes members from our Finance, Legal, Procurement and Quality departments. Senior management and key internal stakeholders receive reports regarding the advancement and conclusions of the program. MACOM has also enlisted a third-party information management service provider (the “Service Provider”) and specialist outside counsel to assist in our due diligence and/or other 3TG compliance activities. The measures described in this CMR were either taken by the Company or the Service Provider acting on its behalf.</w:t>
      </w:r>
    </w:p>
    <w:p>
      <w:pPr>
        <w:spacing w:after="0" w:line="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MACOM’s engagement with suppliers to support their compliance with the Rule includes terms and conditions relating to 3TG compliance in our standard form purchasing terms and conditions. In addition, our templates for supplier agreements also reference 3TG compliance.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 has established a system of transparency, information collection and control over the 3TG supply chain. This system includes a process to collect required supplier RCOI data, utilizing the industry standard Conflict Minerals Reporting Template (“CMRT”). Additional details on supply chain data gathering are included in the RCOI and due diligence sections of this CMR. This information is retained for at least five years, generally in electronic form.</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 has a plan to improve the quantity and quality of supplier responses year over year. Outreach for specific suppliers is coordinated between MACOM’s 3TG team and our Procurement department to address outstanding and incomplete data.</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MACOM has a dedicated Conflict Minerals email address through which MACOM’s employees, suppliers and other third parties can voice any concerns regarding potential violations of the Policy without any fear of retribution. The dedicated Conflict Minerals email address is </w:t>
      </w:r>
      <w:r>
        <w:rPr>
          <w:rFonts w:ascii="Times New Roman" w:cs="Times New Roman" w:eastAsia="Times New Roman" w:hAnsi="Times New Roman"/>
          <w:sz w:val="18"/>
          <w:szCs w:val="18"/>
          <w:u w:val="single" w:color="auto"/>
          <w:color w:val="0563C1"/>
        </w:rPr>
        <w:t>conflictminerals@macom.com</w:t>
      </w:r>
      <w:r>
        <w:rPr>
          <w:rFonts w:ascii="Times New Roman" w:cs="Times New Roman" w:eastAsia="Times New Roman" w:hAnsi="Times New Roman"/>
          <w:sz w:val="18"/>
          <w:szCs w:val="18"/>
          <w:color w:val="000000"/>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Country of Origin Inquiry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MACOM’s RCOI is designed in accordance with Step Two of the OECD Due Diligence Guidance design framework, with the specific goal of determining whether the 3TG in the in-scope products originated from a Covered Country. MACOM’s RCOI process involved two stages: Supplier RCOI and SOR RCOI, as described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RCOI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MACOM designed its Supplier RCOI process to identify the SORs that are potentially in MACOM’s supply chain. Our Supplier RCOI process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reporting period included the following:</w:t>
      </w:r>
    </w:p>
    <w:p>
      <w:pPr>
        <w:spacing w:after="0" w:line="99"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requested in writing, through the Service Provider, that the Suppliers provide us with a completed CMRT. The Service Provider followed up by email or phone on our behalf with Suppliers that did not respond to the request within the specified time frame. The Service Provider followed up with non-responsive Suppliers.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Provider, on our behalf, reviewed Supplier responses against its written review criteria to identify incomplete responses and potential errors and inaccuracies in the CMRTs. The Service Provider followed up by email with Suppliers that submitted a response that triggered specific quality issues relating to completeness and accuracy.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Provider evaluated Suppliers’ due diligence processes and policies based on the Suppliers’ responses to certain of the questions in the CMRT. These questions ask suppliers about their internal processes regarding 3TG.</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steps to gather additional information from suppliers whose responses lead us to believe additional information is warranted to help ensure that our supply chain is responsibly sourcing 3TG.</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6, 2026, we achieved a response rate of 90.2% for our RCOI supply chain survey. Through the RCOI process, our Suppliers identified 220 valid SORs. Identified SORs are described in the “Identified Smelter and Refiners” section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2025 reporting period, portions of MACOM’s RCOI and due diligence were executed by MACOM’s Service Provider.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MACOM’s due diligence process was designed in accordance with the applicable portions of the OECD Due Diligence Guidance.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 RCOI and Due Diligence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MACOM’s SOR RCOI and due diligence process were designed to:</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scope of the risk assessment of the 3TG supply chain;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whether the SORs have carried out due diligence for responsible supply chains of 3TG from conflict-affected and high-risk areas.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MACOM’s SOR RCOI and due diligence process for the 2025 reporting period included the following steps for each SOR identified by Suppliers as potentially in MACOM’s supply chain:</w:t>
      </w:r>
    </w:p>
    <w:p>
      <w:pPr>
        <w:spacing w:after="0" w:line="54" w:lineRule="exact"/>
        <w:rPr>
          <w:sz w:val="20"/>
          <w:szCs w:val="20"/>
          <w:color w:val="auto"/>
        </w:rPr>
      </w:pPr>
    </w:p>
    <w:p>
      <w:pPr>
        <w:jc w:val="both"/>
        <w:ind w:left="660" w:hanging="328"/>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 information provided by Suppliers was reviewed by the Service Provider against the Responsible Minerals Initiative (the “RMI”) list of known SORs. To the extent that a SOR identified by a Supplier is not on that list, the Service Provider may take additional steps to attempt to determine whether the listed entity is a SOR. SOR information also was reviewed against the lists of Conformant and Active (as later defined) SORs published by the RMI. The Service Provider bases its country of origin determinations on publicly available information, its outreach to SORs and information provided by suppliers in their completed CMRTs. Consistent with the foregoing, to the extent that a SOR identified by a Supplier was not listed as Conformant by the RMI, the Service Provider undertook an additional review to attempt to determine whether that SOR obtained 3TG from sources that directly or indirectly financed or benefited armed groups in the Covered Countries. The Service Provider attempted to reach out to the SOR directly and conducted research to gain more information about the SOR’s sourcing practices, including the countries of origin of the minerals that it processes, the transit and transfer of the minerals that it processes and whether it has in place internal due diligence procedures or other processes to track the chain-of-custody of its 3TG.</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MACOM’s risk mitigation plan includes a requirement for high risk SORs (SORs sourcing from, or there is reason to believe they are sourcing from the Covered Countries) to be audited and certified “Conformant” by the Responsible Minerals Assurance Process (“RMAP”) or to be RMAP “Active.” If high risk SORs do not become “Conformant,” MACOM suppliers are requested to identify a path to mitigate the risk of sourcing from these SORs.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MACOM’s risk mitigation plan also includes a requirement for high risk SORs that have not been audited and listed as “Conformant” by the RMAP. MACOM conducts risk mitigation on the SOR according to the OECD Due Diligence Guidance and communicates the results of these activities to a designated member of senior management.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MACOM’s Suppliers identified 220 SORs. Through the activities mentioned above, MACOM identified 61 SORs that source, or there is reason to believe they source, from the Covered Countries. MACOM determined that all of these SORs were listed as “Conformant” or “Active” by the RMAP as of May 6,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Mitigation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MACOM’s risk mitigation process is consistent with the OECD Due Diligence Guidance and is designed to help prevent an unnecessary sourcing embargo from the Covered Countries.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mitigation plan includes an assessment of certain identified SORs to determine if they are relevant to the specific products sold to MACOM.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Audit of Supply Chain Due Diligence at Identified Points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MACOM does not have a direct relationship with 3TG SORs and, therefore, does not perform direct audits of these entities within its supply chain. We utilize and rely on the audit protocols of the RMAP as acceptable in this regard.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on Supply Chain Due Diligence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MACOM’s Form SD and Conflict Minerals Report are annually filed and are publicly available on our website.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Smelters and Refiners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RCOI or due diligence, as applicable, the Suppliers identified to us the SORs described in the table below as having potentially processed the necessary 3TG contained in our in-scope products in 2025. Please see the notes that accompany the table for information concerning the data in the table.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9" w:right="339" w:bottom="1440" w:gutter="0" w:footer="0" w:header="0"/>
        </w:sectPr>
      </w:pPr>
    </w:p>
    <w:bookmarkStart w:id="6" w:name="page7"/>
    <w:bookmarkEnd w:id="6"/>
    <w:tbl>
      <w:tblPr>
        <w:tblLayout w:type="fixed"/>
        <w:tblInd w:w="550" w:type="dxa"/>
        <w:tblCellMar>
          <w:top w:w="0" w:type="dxa"/>
          <w:left w:w="0" w:type="dxa"/>
          <w:bottom w:w="0" w:type="dxa"/>
          <w:right w:w="0" w:type="dxa"/>
        </w:tblCellMar>
      </w:tblPr>
      <w:tr>
        <w:trPr>
          <w:trHeight w:val="211"/>
        </w:trPr>
        <w:tc>
          <w:tcPr>
            <w:tcW w:w="4400" w:type="dxa"/>
            <w:vAlign w:val="bottom"/>
            <w:tcBorders>
              <w:top w:val="single" w:sz="8" w:color="auto"/>
              <w:left w:val="single" w:sz="8" w:color="auto"/>
              <w:right w:val="single" w:sz="8" w:color="auto"/>
            </w:tcBorders>
            <w:shd w:val="clear" w:color="auto" w:fill="ACACAC"/>
          </w:tcPr>
          <w:p>
            <w:pPr>
              <w:spacing w:after="0"/>
              <w:rPr>
                <w:sz w:val="18"/>
                <w:szCs w:val="18"/>
                <w:color w:val="auto"/>
              </w:rPr>
            </w:pPr>
          </w:p>
        </w:tc>
        <w:tc>
          <w:tcPr>
            <w:tcW w:w="2100" w:type="dxa"/>
            <w:vAlign w:val="bottom"/>
            <w:tcBorders>
              <w:top w:val="single" w:sz="8" w:color="auto"/>
              <w:right w:val="single" w:sz="8" w:color="auto"/>
            </w:tcBorders>
            <w:shd w:val="clear" w:color="auto" w:fill="ACACAC"/>
          </w:tcPr>
          <w:p>
            <w:pPr>
              <w:ind w:left="600"/>
              <w:spacing w:after="0"/>
              <w:rPr>
                <w:sz w:val="20"/>
                <w:szCs w:val="20"/>
                <w:color w:val="auto"/>
              </w:rPr>
            </w:pPr>
            <w:r>
              <w:rPr>
                <w:rFonts w:ascii="Times New Roman" w:cs="Times New Roman" w:eastAsia="Times New Roman" w:hAnsi="Times New Roman"/>
                <w:sz w:val="18"/>
                <w:szCs w:val="18"/>
                <w:color w:val="auto"/>
              </w:rPr>
              <w:t>Conformant</w:t>
            </w:r>
          </w:p>
        </w:tc>
        <w:tc>
          <w:tcPr>
            <w:tcW w:w="1360" w:type="dxa"/>
            <w:vAlign w:val="bottom"/>
            <w:tcBorders>
              <w:top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c>
          <w:tcPr>
            <w:tcW w:w="2340" w:type="dxa"/>
            <w:vAlign w:val="bottom"/>
            <w:tcBorders>
              <w:top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Smelter Look-Up Tab List</w:t>
            </w:r>
          </w:p>
        </w:tc>
      </w:tr>
      <w:tr>
        <w:trPr>
          <w:trHeight w:val="241"/>
        </w:trPr>
        <w:tc>
          <w:tcPr>
            <w:tcW w:w="4400" w:type="dxa"/>
            <w:vAlign w:val="bottom"/>
            <w:tcBorders>
              <w:left w:val="single" w:sz="8" w:color="auto"/>
              <w:bottom w:val="single" w:sz="8" w:color="ACACAC"/>
              <w:right w:val="single" w:sz="8" w:color="auto"/>
            </w:tcBorders>
            <w:shd w:val="clear" w:color="auto" w:fill="ACACAC"/>
          </w:tcPr>
          <w:p>
            <w:pPr>
              <w:spacing w:after="0"/>
              <w:rPr>
                <w:sz w:val="20"/>
                <w:szCs w:val="20"/>
                <w:color w:val="auto"/>
              </w:rPr>
            </w:pPr>
          </w:p>
        </w:tc>
        <w:tc>
          <w:tcPr>
            <w:tcW w:w="2100" w:type="dxa"/>
            <w:vAlign w:val="bottom"/>
            <w:tcBorders>
              <w:bottom w:val="single" w:sz="8" w:color="ACACAC"/>
              <w:right w:val="single" w:sz="8" w:color="auto"/>
            </w:tcBorders>
            <w:shd w:val="clear" w:color="auto" w:fill="ACACAC"/>
          </w:tcPr>
          <w:p>
            <w:pPr>
              <w:spacing w:after="0"/>
              <w:rPr>
                <w:sz w:val="20"/>
                <w:szCs w:val="20"/>
                <w:color w:val="auto"/>
              </w:rPr>
            </w:pPr>
          </w:p>
        </w:tc>
        <w:tc>
          <w:tcPr>
            <w:tcW w:w="1360" w:type="dxa"/>
            <w:vAlign w:val="bottom"/>
            <w:tcBorders>
              <w:bottom w:val="single" w:sz="8" w:color="ACACAC"/>
              <w:right w:val="single" w:sz="8" w:color="auto"/>
            </w:tcBorders>
            <w:shd w:val="clear" w:color="auto" w:fill="ACACAC"/>
          </w:tcPr>
          <w:p>
            <w:pPr>
              <w:spacing w:after="0"/>
              <w:rPr>
                <w:sz w:val="20"/>
                <w:szCs w:val="20"/>
                <w:color w:val="auto"/>
              </w:rPr>
            </w:pPr>
          </w:p>
        </w:tc>
        <w:tc>
          <w:tcPr>
            <w:tcW w:w="2340" w:type="dxa"/>
            <w:vAlign w:val="bottom"/>
            <w:tcBorders>
              <w:bottom w:val="single" w:sz="8" w:color="ACACAC"/>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Only</w:t>
            </w:r>
          </w:p>
        </w:tc>
      </w:tr>
      <w:tr>
        <w:trPr>
          <w:trHeight w:val="234"/>
        </w:trPr>
        <w:tc>
          <w:tcPr>
            <w:tcW w:w="4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Tantalum</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 (100%)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4400" w:type="dxa"/>
            <w:vAlign w:val="bottom"/>
            <w:tcBorders>
              <w:left w:val="single" w:sz="8" w:color="auto"/>
              <w:right w:val="single" w:sz="8" w:color="auto"/>
            </w:tcBorders>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r>
      <w:tr>
        <w:trPr>
          <w:trHeight w:val="236"/>
        </w:trPr>
        <w:tc>
          <w:tcPr>
            <w:tcW w:w="4400" w:type="dxa"/>
            <w:vAlign w:val="bottom"/>
            <w:tcBorders>
              <w:left w:val="single" w:sz="8" w:color="auto"/>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2100" w:type="dxa"/>
            <w:vAlign w:val="bottom"/>
            <w:tcBorders>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w w:val="97"/>
              </w:rPr>
              <w:t>50 (86%)</w:t>
            </w:r>
          </w:p>
        </w:tc>
        <w:tc>
          <w:tcPr>
            <w:tcW w:w="1360" w:type="dxa"/>
            <w:vAlign w:val="bottom"/>
            <w:tcBorders>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340" w:type="dxa"/>
            <w:vAlign w:val="bottom"/>
            <w:tcBorders>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 (88%)</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
        </w:trPr>
        <w:tc>
          <w:tcPr>
            <w:tcW w:w="4400" w:type="dxa"/>
            <w:vAlign w:val="bottom"/>
            <w:tcBorders>
              <w:left w:val="single" w:sz="8" w:color="auto"/>
              <w:right w:val="single" w:sz="8" w:color="auto"/>
            </w:tcBorders>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r>
      <w:tr>
        <w:trPr>
          <w:trHeight w:val="237"/>
        </w:trPr>
        <w:tc>
          <w:tcPr>
            <w:tcW w:w="4400" w:type="dxa"/>
            <w:vAlign w:val="bottom"/>
            <w:tcBorders>
              <w:left w:val="single" w:sz="8" w:color="auto"/>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2100" w:type="dxa"/>
            <w:vAlign w:val="bottom"/>
            <w:tcBorders>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w w:val="97"/>
              </w:rPr>
              <w:t>92 (96%)</w:t>
            </w:r>
          </w:p>
        </w:tc>
        <w:tc>
          <w:tcPr>
            <w:tcW w:w="1360" w:type="dxa"/>
            <w:vAlign w:val="bottom"/>
            <w:tcBorders>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340" w:type="dxa"/>
            <w:vAlign w:val="bottom"/>
            <w:tcBorders>
              <w:bottom w:val="single" w:sz="8" w:color="E7E7E7"/>
              <w:right w:val="single" w:sz="8" w:color="auto"/>
            </w:tcBorders>
            <w:shd w:val="clear" w:color="auto" w:fill="E7E7E7"/>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2340" w:type="dxa"/>
            <w:vAlign w:val="bottom"/>
            <w:tcBorders>
              <w:right w:val="single" w:sz="8" w:color="auto"/>
            </w:tcBorders>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notes the following in connection with the information in the table above:</w:t>
      </w:r>
    </w:p>
    <w:p>
      <w:pPr>
        <w:spacing w:after="0" w:line="117" w:lineRule="exact"/>
        <w:rPr>
          <w:sz w:val="20"/>
          <w:szCs w:val="20"/>
          <w:color w:val="auto"/>
        </w:rPr>
      </w:pPr>
    </w:p>
    <w:p>
      <w:pPr>
        <w:jc w:val="both"/>
        <w:ind w:left="660" w:hanging="328"/>
        <w:spacing w:after="0" w:line="258"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all of the included SORs may have processed the necessary 3TG contained in MACOM’s in-scope products, since some Suppliers reported at a “company level,” meaning that they reported the 3TG contained in all of their products, not just those in the products that they sold MACOM. Some Suppliers also may have reported SORs that were not in MACOM’s supply chain due to over-inclusiveness in the information received from their suppliers or for other reasons. In addition, the SORs reflected above may not include all of the SORs in MACOM’s supply chain, since some Suppliers did not identify all of their SORs or because not all Suppliers responded to MACOM’s inquiries.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only includes entities that meet the definition of SORs set out in the RMAP protocols for tin, tantalum, tungsten, and gold.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 status information in the table is as of May 6, 2026. SOR status reflected in the table is based solely on information made publicly available by the RMI, without independent verification by MACOM.</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SOR has successfully completed an assessment against the applicable RMAP standard or an equivalent cross-recognized assessment. Included SORs were not necessarily Conformant for all or part of 2025 and may not continue to be Conformant for any future period.</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the SOR is currently engaged in the RMAP but a conformance determination has yet to be made.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 Look-up Tab List Only” means that a SOR is listed on the Smelter Look-up tab list of the CMRT but is not listed as “Conformant” or “Active.” Due to the eligibility criteria for an RMAP assessment, SORs are sometimes removed from the Conformant list because they are no longer operational and not because they are non-conformant to the standard.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 of Origin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identified countries of origin of the 3TG processed by the SORs reflected in the table above are believed to have potentially included the countries listed below. These may not be all of the countries from which the identified SORs have sourced, and the identified SORs may not have sourced from all of these countries.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Albania, Andorra, Angola, Argentina, Armenia, Australia, Austria, Azerbaijan, Belarus, Belgium, Benin, Bermuda, Bolivia (Plurinational State of), Botswana, Brazil, Bulgaria, Burkina Faso, Burundi, Cambodia, Canada, Central African Republic, Chile, China, Colombia, Congo, Cyprus, Democratic Republic of the Congo, Djibouti, Dominica, Dominican Republic, Ecuador, Egypt, El Salvador, Eritrea, Estonia, Ethiopia, Fiji, Finland, France, Georgia, Germany, Ghana, Guatemala, Guinea, Guyana, Honduras, Hong Kong, Hungary, India, Indonesia, Ireland, Israel, Italy, Japan, Jersey, Kazakhstan, Kenya, Korea, Kyrgyzstan, Liberia, Liechtenstein, Lithuania, Luxembourg, Madagascar, Malaysia, Mali, Mauritania, Mexico, Mongolia, Morocco, Mozambique, Myanmar, Namibia, Netherlands, New Zealand, Nicaragua, Niger, Nigeria, Norway, Oman, Panama, Papua New Guinea, Peru, Philippines, Poland, Portugal, Russian Federation, Rwanda, Saudi Arabia, Senegal, Serbia, Sierra Leone, Singapore, Slovakia, Solomon Islands, South Africa, South Sudan, Spain, Sudan, Suriname, Sweden, Switzerland, Taiwan, Tajikistan, Tanzania, Thailand, Turkey, Uganda, United Arab Emirates, United Kingdom, United States, Uruguay, Uzbekistan, Vietnam, Zambia, and Zimbabwe.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Alternatively, or in addition, some of the identified SORs have sourced from recycled or scrap 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Improvement Plan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MACOM is taking or intends to take the following steps to further mitigate risk that the necessary 3TG in MACOM’s products could directly or indirectly benefit or finance armed groups in the Covered Countries, in addition to the other steps described earlier in this CMR:</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CMRT for 2026 supplier outreach.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take the steps needed to obtain and provide current, accurate and complete information about their SORs by enhancing training materials and through further outreach.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24" w:right="339" w:bottom="1440" w:gutter="0" w:footer="0" w:header="0"/>
        </w:sectPr>
      </w:pPr>
    </w:p>
    <w:bookmarkStart w:id="7" w:name="page8"/>
    <w:bookmarkEnd w:id="7"/>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source responsibly from SORs that are listed as “Conformant” or “Active” by the RMAP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identified SORs that are not certified “Conformant” or “Active” by the RMAP program to request their participation in the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potential limitations affecting the reliability of third-party certification systems and supply chain inquiries that have been cited by certain commentators, we are not expressing a determination that our products are “DRC conflict free” within the meaning of the Rule. However, no information has come to our attention that causes us to believe that 3TG in our products are directly or indirectly financing or benefiting armed groups in a Covered Country.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document contains “forward-looking statements” made within the meaning of the Private Securities Litigation Reform Act of 1995. Words such as “believes,” “anticipates,” “plans,” “may,” “intends,” “will,” “should,” “expects” and similar expressions or the use of the future tense are intended to identify forward-looking statements. In addition, any statements that do not relate to historical or current facts or matters are forward-looking statements. Statements concerning current conditions may also be forward-looking if they imply a continuation of current conditions. Examples of forward-looking statements within this document include, but are not limited to, statements concerning the additional steps that we intend to take to mitigate the risk that our necessary 3TG benefit armed groups.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 (2) whether SORs and other market participants responsibly source 3TG; and (3) political, regulatory and economic developments, whether in the Covered Countries, the United States or elsewhere. You are cautioned not to place undue reliance on these forward-looking statements, which speak only as of the date of the filing of this document. We do not intend, and undertake no obligation, to publish revised forward-looking statements to reflect events or circumstances after the date of the filing of this document or to reflect the occurrence of unanticipated events.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2026-05-29T16:30:56Z</dcterms:created>
  <dcterms:modified xsi:type="dcterms:W3CDTF">2026-05-29T16:30:56Z</dcterms:modified>
</cp:coreProperties>
</file>