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2601595</wp:posOffset>
            </wp:positionH>
            <wp:positionV relativeFrom="paragraph">
              <wp:posOffset>55880</wp:posOffset>
            </wp:positionV>
            <wp:extent cx="1948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48180" cy="8255"/>
                    </a:xfrm>
                    <a:prstGeom prst="rect">
                      <a:avLst/>
                    </a:prstGeom>
                    <a:noFill/>
                  </pic:spPr>
                </pic:pic>
              </a:graphicData>
            </a:graphic>
          </wp:anchor>
        </w:drawing>
      </w:r>
    </w:p>
    <w:p>
      <w:pPr>
        <w:spacing w:after="0" w:line="1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2601595</wp:posOffset>
            </wp:positionH>
            <wp:positionV relativeFrom="paragraph">
              <wp:posOffset>49530</wp:posOffset>
            </wp:positionV>
            <wp:extent cx="19481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4818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29" w:lineRule="exact"/>
        <w:rPr>
          <w:sz w:val="24"/>
          <w:szCs w:val="24"/>
          <w:color w:val="auto"/>
        </w:rPr>
      </w:pPr>
    </w:p>
    <w:p>
      <w:pPr>
        <w:ind w:left="400" w:hanging="301"/>
        <w:spacing w:after="0"/>
        <w:tabs>
          <w:tab w:leader="none" w:pos="4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January 2, 2026</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 w:lineRule="exact"/>
        <w:rPr>
          <w:sz w:val="24"/>
          <w:szCs w:val="24"/>
          <w:color w:val="auto"/>
        </w:rPr>
      </w:pPr>
    </w:p>
    <w:p>
      <w:pPr>
        <w:ind w:left="400" w:right="840" w:hanging="288"/>
        <w:spacing w:after="0" w:line="250" w:lineRule="auto"/>
        <w:tabs>
          <w:tab w:leader="none" w:pos="4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79" w:lineRule="exact"/>
        <w:rPr>
          <w:sz w:val="24"/>
          <w:szCs w:val="24"/>
          <w:color w:val="auto"/>
        </w:rPr>
      </w:pPr>
    </w:p>
    <w:p>
      <w:pPr>
        <w:ind w:left="388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2601595</wp:posOffset>
            </wp:positionH>
            <wp:positionV relativeFrom="paragraph">
              <wp:posOffset>67310</wp:posOffset>
            </wp:positionV>
            <wp:extent cx="1948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8180" cy="8255"/>
                    </a:xfrm>
                    <a:prstGeom prst="rect">
                      <a:avLst/>
                    </a:prstGeom>
                    <a:noFill/>
                  </pic:spPr>
                </pic:pic>
              </a:graphicData>
            </a:graphic>
          </wp:anchor>
        </w:drawing>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MACOM Technology Solutions Holdings, Inc.</w:t>
      </w:r>
    </w:p>
    <w:p>
      <w:pPr>
        <w:spacing w:after="0" w:line="10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2601595</wp:posOffset>
            </wp:positionH>
            <wp:positionV relativeFrom="paragraph">
              <wp:posOffset>33020</wp:posOffset>
            </wp:positionV>
            <wp:extent cx="1948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8180" cy="8255"/>
                    </a:xfrm>
                    <a:prstGeom prst="rect">
                      <a:avLst/>
                    </a:prstGeom>
                    <a:noFill/>
                  </pic:spPr>
                </pic:pic>
              </a:graphicData>
            </a:graphic>
          </wp:anchor>
        </w:drawing>
      </w:r>
    </w:p>
    <w:p>
      <w:pPr>
        <w:spacing w:after="0" w:line="211" w:lineRule="exact"/>
        <w:rPr>
          <w:sz w:val="24"/>
          <w:szCs w:val="24"/>
          <w:color w:val="auto"/>
        </w:rPr>
      </w:pPr>
    </w:p>
    <w:tbl>
      <w:tblPr>
        <w:tblLayout w:type="fixed"/>
        <w:tblInd w:w="440" w:type="dxa"/>
        <w:tblCellMar>
          <w:top w:w="0" w:type="dxa"/>
          <w:left w:w="0" w:type="dxa"/>
          <w:bottom w:w="0" w:type="dxa"/>
          <w:right w:w="0" w:type="dxa"/>
        </w:tblCellMar>
      </w:tblPr>
      <w:tr>
        <w:trPr>
          <w:trHeight w:val="222"/>
        </w:trPr>
        <w:tc>
          <w:tcPr>
            <w:tcW w:w="1560" w:type="dxa"/>
            <w:vAlign w:val="bottom"/>
          </w:tcPr>
          <w:p>
            <w:pPr>
              <w:spacing w:after="0"/>
              <w:rPr>
                <w:sz w:val="19"/>
                <w:szCs w:val="19"/>
                <w:color w:val="auto"/>
              </w:rPr>
            </w:pPr>
          </w:p>
        </w:tc>
        <w:tc>
          <w:tcPr>
            <w:tcW w:w="2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00" w:type="dxa"/>
            <w:vAlign w:val="bottom"/>
          </w:tcPr>
          <w:p>
            <w:pPr>
              <w:jc w:val="center"/>
              <w:ind w:right="359"/>
              <w:spacing w:after="0"/>
              <w:rPr>
                <w:sz w:val="20"/>
                <w:szCs w:val="20"/>
                <w:color w:val="auto"/>
              </w:rPr>
            </w:pPr>
            <w:r>
              <w:rPr>
                <w:rFonts w:ascii="Times New Roman" w:cs="Times New Roman" w:eastAsia="Times New Roman" w:hAnsi="Times New Roman"/>
                <w:sz w:val="18"/>
                <w:szCs w:val="18"/>
                <w:b w:val="1"/>
                <w:bCs w:val="1"/>
                <w:color w:val="auto"/>
                <w:w w:val="98"/>
              </w:rPr>
              <w:t>27-0306875</w:t>
            </w:r>
          </w:p>
        </w:tc>
      </w:tr>
      <w:tr>
        <w:trPr>
          <w:trHeight w:val="144"/>
        </w:trPr>
        <w:tc>
          <w:tcPr>
            <w:tcW w:w="4200" w:type="dxa"/>
            <w:vAlign w:val="bottom"/>
            <w:gridSpan w:val="4"/>
          </w:tcPr>
          <w:p>
            <w:pPr>
              <w:jc w:val="center"/>
              <w:ind w:left="400"/>
              <w:spacing w:after="0" w:line="144"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00" w:type="dxa"/>
            <w:vAlign w:val="bottom"/>
          </w:tcPr>
          <w:p>
            <w:pPr>
              <w:jc w:val="center"/>
              <w:ind w:right="359"/>
              <w:spacing w:after="0" w:line="144"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4200" w:type="dxa"/>
            <w:vAlign w:val="bottom"/>
            <w:gridSpan w:val="4"/>
          </w:tcPr>
          <w:p>
            <w:pPr>
              <w:jc w:val="center"/>
              <w:ind w:left="4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1"/>
        </w:trPr>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gridSpan w:val="4"/>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100 Chelmsford Street</w:t>
            </w:r>
          </w:p>
        </w:tc>
        <w:tc>
          <w:tcPr>
            <w:tcW w:w="2900" w:type="dxa"/>
            <w:vAlign w:val="bottom"/>
          </w:tcPr>
          <w:p>
            <w:pPr>
              <w:spacing w:after="0"/>
              <w:rPr>
                <w:sz w:val="24"/>
                <w:szCs w:val="24"/>
                <w:color w:val="auto"/>
              </w:rPr>
            </w:pPr>
          </w:p>
        </w:tc>
      </w:tr>
      <w:tr>
        <w:trPr>
          <w:trHeight w:val="208"/>
        </w:trPr>
        <w:tc>
          <w:tcPr>
            <w:tcW w:w="1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0" w:type="dxa"/>
            <w:vAlign w:val="bottom"/>
            <w:gridSpan w:val="4"/>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Lowell, MA 01851</w:t>
            </w:r>
          </w:p>
        </w:tc>
        <w:tc>
          <w:tcPr>
            <w:tcW w:w="2900" w:type="dxa"/>
            <w:vAlign w:val="bottom"/>
          </w:tcPr>
          <w:p>
            <w:pPr>
              <w:spacing w:after="0"/>
              <w:rPr>
                <w:sz w:val="18"/>
                <w:szCs w:val="18"/>
                <w:color w:val="auto"/>
              </w:rPr>
            </w:pPr>
          </w:p>
        </w:tc>
      </w:tr>
      <w:tr>
        <w:trPr>
          <w:trHeight w:val="186"/>
        </w:trPr>
        <w:tc>
          <w:tcPr>
            <w:tcW w:w="1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920" w:type="dxa"/>
            <w:vAlign w:val="bottom"/>
            <w:gridSpan w:val="6"/>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2900" w:type="dxa"/>
            <w:vAlign w:val="bottom"/>
          </w:tcPr>
          <w:p>
            <w:pPr>
              <w:spacing w:after="0"/>
              <w:rPr>
                <w:sz w:val="16"/>
                <w:szCs w:val="16"/>
                <w:color w:val="auto"/>
              </w:rPr>
            </w:pPr>
          </w:p>
        </w:tc>
      </w:tr>
      <w:tr>
        <w:trPr>
          <w:trHeight w:val="239"/>
        </w:trPr>
        <w:tc>
          <w:tcPr>
            <w:tcW w:w="1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7"/>
              </w:rPr>
              <w:t>(978) 656-2500</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186"/>
        </w:trPr>
        <w:tc>
          <w:tcPr>
            <w:tcW w:w="1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920" w:type="dxa"/>
            <w:vAlign w:val="bottom"/>
            <w:gridSpan w:val="6"/>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900" w:type="dxa"/>
            <w:vAlign w:val="bottom"/>
          </w:tcPr>
          <w:p>
            <w:pPr>
              <w:spacing w:after="0"/>
              <w:rPr>
                <w:sz w:val="16"/>
                <w:szCs w:val="16"/>
                <w:color w:val="auto"/>
              </w:rPr>
            </w:pPr>
          </w:p>
        </w:tc>
      </w:tr>
      <w:tr>
        <w:trPr>
          <w:trHeight w:val="303"/>
        </w:trPr>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66"/>
        </w:trPr>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51"/>
        </w:trPr>
        <w:tc>
          <w:tcPr>
            <w:tcW w:w="1560" w:type="dxa"/>
            <w:vAlign w:val="bottom"/>
          </w:tcPr>
          <w:p>
            <w:pPr>
              <w:spacing w:after="0"/>
              <w:rPr>
                <w:sz w:val="21"/>
                <w:szCs w:val="21"/>
                <w:color w:val="auto"/>
              </w:rPr>
            </w:pPr>
          </w:p>
        </w:tc>
        <w:tc>
          <w:tcPr>
            <w:tcW w:w="264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260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exchange on which registered</w:t>
            </w:r>
          </w:p>
        </w:tc>
      </w:tr>
      <w:tr>
        <w:trPr>
          <w:trHeight w:val="20"/>
        </w:trPr>
        <w:tc>
          <w:tcPr>
            <w:tcW w:w="15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r>
      <w:tr>
        <w:trPr>
          <w:trHeight w:val="246"/>
        </w:trPr>
        <w:tc>
          <w:tcPr>
            <w:tcW w:w="4200" w:type="dxa"/>
            <w:vAlign w:val="bottom"/>
            <w:gridSpan w:val="4"/>
          </w:tcPr>
          <w:p>
            <w:pPr>
              <w:jc w:val="center"/>
              <w:ind w:left="140"/>
              <w:spacing w:after="0"/>
              <w:rPr>
                <w:sz w:val="20"/>
                <w:szCs w:val="20"/>
                <w:color w:val="auto"/>
              </w:rPr>
            </w:pPr>
            <w:r>
              <w:rPr>
                <w:rFonts w:ascii="Times New Roman" w:cs="Times New Roman" w:eastAsia="Times New Roman" w:hAnsi="Times New Roman"/>
                <w:sz w:val="18"/>
                <w:szCs w:val="18"/>
                <w:color w:val="auto"/>
                <w:w w:val="98"/>
              </w:rPr>
              <w:t>Common Stock, par value $0.001 per share</w:t>
            </w:r>
          </w:p>
        </w:tc>
        <w:tc>
          <w:tcPr>
            <w:tcW w:w="380" w:type="dxa"/>
            <w:vAlign w:val="bottom"/>
          </w:tcPr>
          <w:p>
            <w:pPr>
              <w:spacing w:after="0"/>
              <w:rPr>
                <w:sz w:val="21"/>
                <w:szCs w:val="21"/>
                <w:color w:val="auto"/>
              </w:rPr>
            </w:pPr>
          </w:p>
        </w:tc>
        <w:tc>
          <w:tcPr>
            <w:tcW w:w="222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color w:val="auto"/>
                <w:w w:val="97"/>
              </w:rPr>
              <w:t>MTSI</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Nasdaq Global Select Market</w:t>
            </w:r>
          </w:p>
        </w:tc>
      </w:tr>
    </w:tbl>
    <w:p>
      <w:pPr>
        <w:spacing w:after="0" w:line="87" w:lineRule="exact"/>
        <w:rPr>
          <w:sz w:val="24"/>
          <w:szCs w:val="24"/>
          <w:color w:val="auto"/>
        </w:rPr>
      </w:pPr>
    </w:p>
    <w:p>
      <w:pPr>
        <w:jc w:val="both"/>
        <w:ind w:firstLine="438"/>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438"/>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438"/>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1760" w:type="dxa"/>
        <w:tblCellMar>
          <w:top w:w="0" w:type="dxa"/>
          <w:left w:w="0" w:type="dxa"/>
          <w:bottom w:w="0" w:type="dxa"/>
          <w:right w:w="0" w:type="dxa"/>
        </w:tblCellMar>
      </w:tblPr>
      <w:tr>
        <w:trPr>
          <w:trHeight w:val="22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6"/>
        </w:trPr>
        <w:tc>
          <w:tcPr>
            <w:tcW w:w="1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1" w:lineRule="exact"/>
        <w:rPr>
          <w:sz w:val="24"/>
          <w:szCs w:val="24"/>
          <w:color w:val="auto"/>
        </w:rPr>
      </w:pPr>
    </w:p>
    <w:p>
      <w:pPr>
        <w:ind w:firstLine="438"/>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302" w:lineRule="exact"/>
        <w:rPr>
          <w:sz w:val="24"/>
          <w:szCs w:val="24"/>
          <w:color w:val="auto"/>
        </w:rPr>
      </w:pPr>
    </w:p>
    <w:p>
      <w:pPr>
        <w:ind w:left="440" w:right="1440"/>
        <w:spacing w:after="0" w:line="29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February 2, 2026, there were 75,011,970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535305</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MACOM TECHNOLOGY SOLUTIONS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8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036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I—FINANCIAL INFORMATION</w:t>
            </w: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0360" w:type="dxa"/>
            <w:vAlign w:val="bottom"/>
            <w:gridSpan w:val="21"/>
            <w:vMerge w:val="continue"/>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1.</w:t>
            </w:r>
          </w:p>
        </w:tc>
        <w:tc>
          <w:tcPr>
            <w:tcW w:w="2380" w:type="dxa"/>
            <w:vAlign w:val="bottom"/>
            <w:gridSpan w:val="9"/>
          </w:tcPr>
          <w:p>
            <w:pPr>
              <w:spacing w:after="0" w:line="206" w:lineRule="exact"/>
              <w:rPr>
                <w:sz w:val="20"/>
                <w:szCs w:val="20"/>
                <w:color w:val="auto"/>
              </w:rPr>
            </w:pPr>
            <w:r>
              <w:rPr>
                <w:rFonts w:ascii="Times New Roman" w:cs="Times New Roman" w:eastAsia="Times New Roman" w:hAnsi="Times New Roman"/>
                <w:sz w:val="18"/>
                <w:szCs w:val="18"/>
                <w:color w:val="0000FF"/>
                <w:w w:val="97"/>
              </w:rPr>
              <w:t>Financial Statements (Unaudited)</w:t>
            </w:r>
          </w:p>
        </w:tc>
        <w:tc>
          <w:tcPr>
            <w:tcW w:w="6940" w:type="dxa"/>
            <w:vAlign w:val="bottom"/>
            <w:gridSpan w:val="10"/>
          </w:tcPr>
          <w:p>
            <w:pPr>
              <w:spacing w:after="0"/>
              <w:rPr>
                <w:sz w:val="17"/>
                <w:szCs w:val="17"/>
                <w:color w:val="auto"/>
              </w:rPr>
            </w:pPr>
          </w:p>
        </w:tc>
        <w:tc>
          <w:tcPr>
            <w:tcW w:w="500" w:type="dxa"/>
            <w:vAlign w:val="bottom"/>
            <w:gridSpan w:val="4"/>
          </w:tcPr>
          <w:p>
            <w:pPr>
              <w:jc w:val="center"/>
              <w:ind w:left="253"/>
              <w:spacing w:after="0" w:line="206" w:lineRule="exact"/>
              <w:rPr>
                <w:sz w:val="20"/>
                <w:szCs w:val="20"/>
                <w:color w:val="auto"/>
              </w:rPr>
            </w:pPr>
            <w:r>
              <w:rPr>
                <w:rFonts w:ascii="Times New Roman" w:cs="Times New Roman" w:eastAsia="Times New Roman" w:hAnsi="Times New Roman"/>
                <w:sz w:val="18"/>
                <w:szCs w:val="18"/>
                <w:color w:val="0000FF"/>
                <w:w w:val="88"/>
              </w:rPr>
              <w:t>1</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gridSpan w:val="9"/>
          </w:tcPr>
          <w:p>
            <w:pPr>
              <w:spacing w:after="0" w:line="206" w:lineRule="exact"/>
              <w:rPr>
                <w:sz w:val="20"/>
                <w:szCs w:val="20"/>
                <w:color w:val="auto"/>
              </w:rPr>
            </w:pPr>
            <w:r>
              <w:rPr>
                <w:rFonts w:ascii="Times New Roman" w:cs="Times New Roman" w:eastAsia="Times New Roman" w:hAnsi="Times New Roman"/>
                <w:sz w:val="18"/>
                <w:szCs w:val="18"/>
                <w:color w:val="0000FF"/>
                <w:w w:val="97"/>
              </w:rPr>
              <w:t>Condensed Consolidated Balance Sheets</w:t>
            </w:r>
          </w:p>
        </w:tc>
        <w:tc>
          <w:tcPr>
            <w:tcW w:w="6140" w:type="dxa"/>
            <w:vAlign w:val="bottom"/>
            <w:gridSpan w:val="9"/>
          </w:tcPr>
          <w:p>
            <w:pPr>
              <w:spacing w:after="0"/>
              <w:rPr>
                <w:sz w:val="17"/>
                <w:szCs w:val="17"/>
                <w:color w:val="auto"/>
              </w:rPr>
            </w:pPr>
          </w:p>
        </w:tc>
        <w:tc>
          <w:tcPr>
            <w:tcW w:w="500" w:type="dxa"/>
            <w:vAlign w:val="bottom"/>
            <w:gridSpan w:val="4"/>
          </w:tcPr>
          <w:p>
            <w:pPr>
              <w:jc w:val="center"/>
              <w:ind w:left="253"/>
              <w:spacing w:after="0" w:line="206" w:lineRule="exact"/>
              <w:rPr>
                <w:sz w:val="20"/>
                <w:szCs w:val="20"/>
                <w:color w:val="auto"/>
              </w:rPr>
            </w:pPr>
            <w:r>
              <w:rPr>
                <w:rFonts w:ascii="Times New Roman" w:cs="Times New Roman" w:eastAsia="Times New Roman" w:hAnsi="Times New Roman"/>
                <w:sz w:val="18"/>
                <w:szCs w:val="18"/>
                <w:color w:val="0000FF"/>
                <w:w w:val="88"/>
              </w:rPr>
              <w:t>1</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0" w:type="dxa"/>
            <w:vAlign w:val="bottom"/>
            <w:gridSpan w:val="10"/>
          </w:tcPr>
          <w:p>
            <w:pPr>
              <w:spacing w:after="0" w:line="206" w:lineRule="exact"/>
              <w:rPr>
                <w:sz w:val="20"/>
                <w:szCs w:val="20"/>
                <w:color w:val="auto"/>
              </w:rPr>
            </w:pPr>
            <w:r>
              <w:rPr>
                <w:rFonts w:ascii="Times New Roman" w:cs="Times New Roman" w:eastAsia="Times New Roman" w:hAnsi="Times New Roman"/>
                <w:sz w:val="18"/>
                <w:szCs w:val="18"/>
                <w:color w:val="0000FF"/>
                <w:w w:val="97"/>
              </w:rPr>
              <w:t>Condensed Consolidated Statements of Operations</w:t>
            </w:r>
          </w:p>
        </w:tc>
        <w:tc>
          <w:tcPr>
            <w:tcW w:w="5420" w:type="dxa"/>
            <w:vAlign w:val="bottom"/>
            <w:gridSpan w:val="8"/>
          </w:tcPr>
          <w:p>
            <w:pPr>
              <w:spacing w:after="0"/>
              <w:rPr>
                <w:sz w:val="17"/>
                <w:szCs w:val="17"/>
                <w:color w:val="auto"/>
              </w:rPr>
            </w:pPr>
          </w:p>
        </w:tc>
        <w:tc>
          <w:tcPr>
            <w:tcW w:w="500" w:type="dxa"/>
            <w:vAlign w:val="bottom"/>
            <w:gridSpan w:val="4"/>
          </w:tcPr>
          <w:p>
            <w:pPr>
              <w:jc w:val="center"/>
              <w:ind w:left="253"/>
              <w:spacing w:after="0" w:line="206" w:lineRule="exact"/>
              <w:rPr>
                <w:sz w:val="20"/>
                <w:szCs w:val="20"/>
                <w:color w:val="auto"/>
              </w:rPr>
            </w:pPr>
            <w:r>
              <w:rPr>
                <w:rFonts w:ascii="Times New Roman" w:cs="Times New Roman" w:eastAsia="Times New Roman" w:hAnsi="Times New Roman"/>
                <w:sz w:val="18"/>
                <w:szCs w:val="18"/>
                <w:color w:val="0000FF"/>
                <w:w w:val="88"/>
              </w:rPr>
              <w:t>2</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0" w:type="dxa"/>
            <w:vAlign w:val="bottom"/>
            <w:gridSpan w:val="16"/>
          </w:tcPr>
          <w:p>
            <w:pPr>
              <w:spacing w:after="0" w:line="206" w:lineRule="exact"/>
              <w:rPr>
                <w:sz w:val="20"/>
                <w:szCs w:val="20"/>
                <w:color w:val="auto"/>
              </w:rPr>
            </w:pPr>
            <w:r>
              <w:rPr>
                <w:rFonts w:ascii="Times New Roman" w:cs="Times New Roman" w:eastAsia="Times New Roman" w:hAnsi="Times New Roman"/>
                <w:sz w:val="18"/>
                <w:szCs w:val="18"/>
                <w:color w:val="0000FF"/>
                <w:w w:val="97"/>
              </w:rPr>
              <w:t>Condensed Consolidated Statements of Comprehensive Income (Loss)</w:t>
            </w:r>
          </w:p>
        </w:tc>
        <w:tc>
          <w:tcPr>
            <w:tcW w:w="4020" w:type="dxa"/>
            <w:vAlign w:val="bottom"/>
            <w:gridSpan w:val="2"/>
          </w:tcPr>
          <w:p>
            <w:pPr>
              <w:spacing w:after="0"/>
              <w:rPr>
                <w:sz w:val="17"/>
                <w:szCs w:val="17"/>
                <w:color w:val="auto"/>
              </w:rPr>
            </w:pPr>
          </w:p>
        </w:tc>
        <w:tc>
          <w:tcPr>
            <w:tcW w:w="500" w:type="dxa"/>
            <w:vAlign w:val="bottom"/>
            <w:gridSpan w:val="4"/>
          </w:tcPr>
          <w:p>
            <w:pPr>
              <w:jc w:val="center"/>
              <w:ind w:left="253"/>
              <w:spacing w:after="0" w:line="206" w:lineRule="exact"/>
              <w:rPr>
                <w:sz w:val="20"/>
                <w:szCs w:val="20"/>
                <w:color w:val="auto"/>
              </w:rPr>
            </w:pPr>
            <w:r>
              <w:rPr>
                <w:rFonts w:ascii="Times New Roman" w:cs="Times New Roman" w:eastAsia="Times New Roman" w:hAnsi="Times New Roman"/>
                <w:sz w:val="18"/>
                <w:szCs w:val="18"/>
                <w:color w:val="0000FF"/>
                <w:w w:val="88"/>
              </w:rPr>
              <w:t>3</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320" w:type="dxa"/>
            <w:vAlign w:val="bottom"/>
            <w:gridSpan w:val="15"/>
          </w:tcPr>
          <w:p>
            <w:pPr>
              <w:spacing w:after="0" w:line="206" w:lineRule="exact"/>
              <w:rPr>
                <w:sz w:val="20"/>
                <w:szCs w:val="20"/>
                <w:color w:val="auto"/>
              </w:rPr>
            </w:pPr>
            <w:r>
              <w:rPr>
                <w:rFonts w:ascii="Times New Roman" w:cs="Times New Roman" w:eastAsia="Times New Roman" w:hAnsi="Times New Roman"/>
                <w:sz w:val="18"/>
                <w:szCs w:val="18"/>
                <w:color w:val="0000FF"/>
                <w:w w:val="97"/>
              </w:rPr>
              <w:t>Condensed Consolidated Statements of Stockholders’ Equity</w:t>
            </w:r>
          </w:p>
        </w:tc>
        <w:tc>
          <w:tcPr>
            <w:tcW w:w="680" w:type="dxa"/>
            <w:vAlign w:val="bottom"/>
          </w:tcPr>
          <w:p>
            <w:pPr>
              <w:spacing w:after="0"/>
              <w:rPr>
                <w:sz w:val="17"/>
                <w:szCs w:val="17"/>
                <w:color w:val="auto"/>
              </w:rPr>
            </w:pPr>
          </w:p>
        </w:tc>
        <w:tc>
          <w:tcPr>
            <w:tcW w:w="4020" w:type="dxa"/>
            <w:vAlign w:val="bottom"/>
            <w:gridSpan w:val="2"/>
          </w:tcPr>
          <w:p>
            <w:pPr>
              <w:spacing w:after="0"/>
              <w:rPr>
                <w:sz w:val="17"/>
                <w:szCs w:val="17"/>
                <w:color w:val="auto"/>
              </w:rPr>
            </w:pPr>
          </w:p>
        </w:tc>
        <w:tc>
          <w:tcPr>
            <w:tcW w:w="500" w:type="dxa"/>
            <w:vAlign w:val="bottom"/>
            <w:gridSpan w:val="4"/>
          </w:tcPr>
          <w:p>
            <w:pPr>
              <w:jc w:val="center"/>
              <w:ind w:left="253"/>
              <w:spacing w:after="0" w:line="206" w:lineRule="exact"/>
              <w:rPr>
                <w:sz w:val="20"/>
                <w:szCs w:val="20"/>
                <w:color w:val="auto"/>
              </w:rPr>
            </w:pPr>
            <w:r>
              <w:rPr>
                <w:rFonts w:ascii="Times New Roman" w:cs="Times New Roman" w:eastAsia="Times New Roman" w:hAnsi="Times New Roman"/>
                <w:sz w:val="18"/>
                <w:szCs w:val="18"/>
                <w:color w:val="0000FF"/>
                <w:w w:val="88"/>
              </w:rPr>
              <w:t>4</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320" w:type="dxa"/>
            <w:vAlign w:val="bottom"/>
            <w:gridSpan w:val="15"/>
          </w:tcPr>
          <w:p>
            <w:pPr>
              <w:spacing w:after="0" w:line="20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700" w:type="dxa"/>
            <w:vAlign w:val="bottom"/>
            <w:gridSpan w:val="3"/>
          </w:tcPr>
          <w:p>
            <w:pPr>
              <w:spacing w:after="0"/>
              <w:rPr>
                <w:sz w:val="17"/>
                <w:szCs w:val="17"/>
                <w:color w:val="auto"/>
              </w:rPr>
            </w:pPr>
          </w:p>
        </w:tc>
        <w:tc>
          <w:tcPr>
            <w:tcW w:w="500" w:type="dxa"/>
            <w:vAlign w:val="bottom"/>
            <w:gridSpan w:val="4"/>
          </w:tcPr>
          <w:p>
            <w:pPr>
              <w:jc w:val="center"/>
              <w:ind w:left="253"/>
              <w:spacing w:after="0" w:line="206" w:lineRule="exact"/>
              <w:rPr>
                <w:sz w:val="20"/>
                <w:szCs w:val="20"/>
                <w:color w:val="auto"/>
              </w:rPr>
            </w:pPr>
            <w:r>
              <w:rPr>
                <w:rFonts w:ascii="Times New Roman" w:cs="Times New Roman" w:eastAsia="Times New Roman" w:hAnsi="Times New Roman"/>
                <w:sz w:val="18"/>
                <w:szCs w:val="18"/>
                <w:color w:val="0000FF"/>
                <w:w w:val="88"/>
              </w:rPr>
              <w:t>5</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920" w:type="dxa"/>
            <w:vAlign w:val="bottom"/>
            <w:gridSpan w:val="12"/>
          </w:tcPr>
          <w:p>
            <w:pPr>
              <w:spacing w:after="0" w:line="206" w:lineRule="exact"/>
              <w:rPr>
                <w:sz w:val="20"/>
                <w:szCs w:val="20"/>
                <w:color w:val="auto"/>
              </w:rPr>
            </w:pPr>
            <w:r>
              <w:rPr>
                <w:rFonts w:ascii="Times New Roman" w:cs="Times New Roman" w:eastAsia="Times New Roman" w:hAnsi="Times New Roman"/>
                <w:sz w:val="18"/>
                <w:szCs w:val="18"/>
                <w:color w:val="0000FF"/>
                <w:w w:val="97"/>
              </w:rPr>
              <w:t>Notes to Condensed Consolidated Financial Statements</w:t>
            </w:r>
          </w:p>
        </w:tc>
        <w:tc>
          <w:tcPr>
            <w:tcW w:w="5100" w:type="dxa"/>
            <w:vAlign w:val="bottom"/>
            <w:gridSpan w:val="6"/>
          </w:tcPr>
          <w:p>
            <w:pPr>
              <w:spacing w:after="0"/>
              <w:rPr>
                <w:sz w:val="17"/>
                <w:szCs w:val="17"/>
                <w:color w:val="auto"/>
              </w:rPr>
            </w:pPr>
          </w:p>
        </w:tc>
        <w:tc>
          <w:tcPr>
            <w:tcW w:w="500" w:type="dxa"/>
            <w:vAlign w:val="bottom"/>
            <w:gridSpan w:val="4"/>
          </w:tcPr>
          <w:p>
            <w:pPr>
              <w:jc w:val="center"/>
              <w:ind w:left="253"/>
              <w:spacing w:after="0" w:line="206" w:lineRule="exact"/>
              <w:rPr>
                <w:sz w:val="20"/>
                <w:szCs w:val="20"/>
                <w:color w:val="auto"/>
              </w:rPr>
            </w:pPr>
            <w:r>
              <w:rPr>
                <w:rFonts w:ascii="Times New Roman" w:cs="Times New Roman" w:eastAsia="Times New Roman" w:hAnsi="Times New Roman"/>
                <w:sz w:val="18"/>
                <w:szCs w:val="18"/>
                <w:color w:val="0000FF"/>
                <w:w w:val="88"/>
              </w:rPr>
              <w:t>6</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4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2.</w:t>
            </w:r>
          </w:p>
        </w:tc>
        <w:tc>
          <w:tcPr>
            <w:tcW w:w="6360" w:type="dxa"/>
            <w:vAlign w:val="bottom"/>
            <w:tcBorders>
              <w:bottom w:val="single" w:sz="8" w:color="0000FF"/>
            </w:tcBorders>
            <w:gridSpan w:val="18"/>
          </w:tcPr>
          <w:p>
            <w:pPr>
              <w:spacing w:after="0" w:line="206"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206" w:lineRule="exact"/>
              <w:rPr>
                <w:sz w:val="20"/>
                <w:szCs w:val="20"/>
                <w:color w:val="auto"/>
              </w:rPr>
            </w:pPr>
            <w:r>
              <w:rPr>
                <w:rFonts w:ascii="Times New Roman" w:cs="Times New Roman" w:eastAsia="Times New Roman" w:hAnsi="Times New Roman"/>
                <w:sz w:val="18"/>
                <w:szCs w:val="18"/>
                <w:color w:val="0000FF"/>
                <w:w w:val="99"/>
              </w:rPr>
              <w:t>22</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bottom w:val="single" w:sz="8" w:color="0000FF"/>
            </w:tcBorders>
            <w:gridSpan w:val="15"/>
          </w:tcPr>
          <w:p>
            <w:pPr>
              <w:spacing w:after="0" w:line="206" w:lineRule="exact"/>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502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206" w:lineRule="exact"/>
              <w:rPr>
                <w:sz w:val="20"/>
                <w:szCs w:val="20"/>
                <w:color w:val="auto"/>
              </w:rPr>
            </w:pPr>
            <w:r>
              <w:rPr>
                <w:rFonts w:ascii="Times New Roman" w:cs="Times New Roman" w:eastAsia="Times New Roman" w:hAnsi="Times New Roman"/>
                <w:sz w:val="18"/>
                <w:szCs w:val="18"/>
                <w:color w:val="0000FF"/>
                <w:w w:val="99"/>
              </w:rPr>
              <w:t>28</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4.</w:t>
            </w:r>
          </w:p>
        </w:tc>
        <w:tc>
          <w:tcPr>
            <w:tcW w:w="1740" w:type="dxa"/>
            <w:vAlign w:val="bottom"/>
            <w:tcBorders>
              <w:bottom w:val="single" w:sz="8" w:color="0000FF"/>
            </w:tcBorders>
            <w:gridSpan w:val="6"/>
          </w:tcPr>
          <w:p>
            <w:pPr>
              <w:spacing w:after="0" w:line="206" w:lineRule="exact"/>
              <w:rPr>
                <w:sz w:val="20"/>
                <w:szCs w:val="20"/>
                <w:color w:val="auto"/>
              </w:rPr>
            </w:pPr>
            <w:r>
              <w:rPr>
                <w:rFonts w:ascii="Times New Roman" w:cs="Times New Roman" w:eastAsia="Times New Roman" w:hAnsi="Times New Roman"/>
                <w:sz w:val="18"/>
                <w:szCs w:val="18"/>
                <w:color w:val="0000FF"/>
                <w:w w:val="97"/>
              </w:rPr>
              <w:t>Controls and Procedures</w:t>
            </w:r>
          </w:p>
        </w:tc>
        <w:tc>
          <w:tcPr>
            <w:tcW w:w="7580" w:type="dxa"/>
            <w:vAlign w:val="bottom"/>
            <w:gridSpan w:val="13"/>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206" w:lineRule="exact"/>
              <w:rPr>
                <w:sz w:val="20"/>
                <w:szCs w:val="20"/>
                <w:color w:val="auto"/>
              </w:rPr>
            </w:pPr>
            <w:r>
              <w:rPr>
                <w:rFonts w:ascii="Times New Roman" w:cs="Times New Roman" w:eastAsia="Times New Roman" w:hAnsi="Times New Roman"/>
                <w:sz w:val="18"/>
                <w:szCs w:val="18"/>
                <w:color w:val="0000FF"/>
                <w:w w:val="99"/>
              </w:rPr>
              <w:t>29</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20" w:type="dxa"/>
            <w:vAlign w:val="bottom"/>
            <w:tcBorders>
              <w:bottom w:val="single" w:sz="8" w:color="0000FF"/>
            </w:tcBorders>
            <w:gridSpan w:val="9"/>
          </w:tcPr>
          <w:p>
            <w:pPr>
              <w:spacing w:after="0" w:line="206" w:lineRule="exact"/>
              <w:rPr>
                <w:sz w:val="20"/>
                <w:szCs w:val="20"/>
                <w:color w:val="auto"/>
              </w:rPr>
            </w:pPr>
            <w:r>
              <w:rPr>
                <w:rFonts w:ascii="Times New Roman" w:cs="Times New Roman" w:eastAsia="Times New Roman" w:hAnsi="Times New Roman"/>
                <w:sz w:val="18"/>
                <w:szCs w:val="18"/>
                <w:b w:val="1"/>
                <w:bCs w:val="1"/>
                <w:color w:val="0000FF"/>
                <w:w w:val="96"/>
              </w:rPr>
              <w:t>PART II—OTHER INFORMATION</w:t>
            </w:r>
          </w:p>
        </w:tc>
        <w:tc>
          <w:tcPr>
            <w:tcW w:w="7540" w:type="dxa"/>
            <w:vAlign w:val="bottom"/>
            <w:gridSpan w:val="12"/>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1.</w:t>
            </w:r>
          </w:p>
        </w:tc>
        <w:tc>
          <w:tcPr>
            <w:tcW w:w="1320" w:type="dxa"/>
            <w:vAlign w:val="bottom"/>
            <w:tcBorders>
              <w:bottom w:val="single" w:sz="8" w:color="0000FF"/>
            </w:tcBorders>
            <w:gridSpan w:val="5"/>
          </w:tcPr>
          <w:p>
            <w:pPr>
              <w:spacing w:after="0" w:line="206" w:lineRule="exact"/>
              <w:rPr>
                <w:sz w:val="20"/>
                <w:szCs w:val="20"/>
                <w:color w:val="auto"/>
              </w:rPr>
            </w:pPr>
            <w:r>
              <w:rPr>
                <w:rFonts w:ascii="Times New Roman" w:cs="Times New Roman" w:eastAsia="Times New Roman" w:hAnsi="Times New Roman"/>
                <w:sz w:val="18"/>
                <w:szCs w:val="18"/>
                <w:color w:val="0000FF"/>
                <w:w w:val="97"/>
              </w:rPr>
              <w:t>Legal Proceedings</w:t>
            </w:r>
          </w:p>
        </w:tc>
        <w:tc>
          <w:tcPr>
            <w:tcW w:w="8000" w:type="dxa"/>
            <w:vAlign w:val="bottom"/>
            <w:gridSpan w:val="14"/>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206" w:lineRule="exact"/>
              <w:rPr>
                <w:sz w:val="20"/>
                <w:szCs w:val="20"/>
                <w:color w:val="auto"/>
              </w:rPr>
            </w:pPr>
            <w:r>
              <w:rPr>
                <w:rFonts w:ascii="Times New Roman" w:cs="Times New Roman" w:eastAsia="Times New Roman" w:hAnsi="Times New Roman"/>
                <w:sz w:val="18"/>
                <w:szCs w:val="18"/>
                <w:color w:val="0000FF"/>
                <w:w w:val="99"/>
              </w:rPr>
              <w:t>30</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1A.</w:t>
            </w:r>
          </w:p>
        </w:tc>
        <w:tc>
          <w:tcPr>
            <w:tcW w:w="9320" w:type="dxa"/>
            <w:vAlign w:val="bottom"/>
            <w:gridSpan w:val="19"/>
          </w:tcPr>
          <w:p>
            <w:pPr>
              <w:spacing w:after="0" w:line="206" w:lineRule="exact"/>
              <w:rPr>
                <w:sz w:val="20"/>
                <w:szCs w:val="20"/>
                <w:color w:val="auto"/>
              </w:rPr>
            </w:pPr>
            <w:r>
              <w:rPr>
                <w:rFonts w:ascii="Times New Roman" w:cs="Times New Roman" w:eastAsia="Times New Roman" w:hAnsi="Times New Roman"/>
                <w:sz w:val="18"/>
                <w:szCs w:val="18"/>
                <w:color w:val="0000FF"/>
              </w:rPr>
              <w:t>Risk Factors</w:t>
            </w:r>
          </w:p>
        </w:tc>
        <w:tc>
          <w:tcPr>
            <w:tcW w:w="500" w:type="dxa"/>
            <w:vAlign w:val="bottom"/>
            <w:gridSpan w:val="4"/>
          </w:tcPr>
          <w:p>
            <w:pPr>
              <w:jc w:val="center"/>
              <w:ind w:left="233"/>
              <w:spacing w:after="0" w:line="206" w:lineRule="exact"/>
              <w:rPr>
                <w:sz w:val="20"/>
                <w:szCs w:val="20"/>
                <w:color w:val="auto"/>
              </w:rPr>
            </w:pPr>
            <w:r>
              <w:rPr>
                <w:rFonts w:ascii="Times New Roman" w:cs="Times New Roman" w:eastAsia="Times New Roman" w:hAnsi="Times New Roman"/>
                <w:sz w:val="18"/>
                <w:szCs w:val="18"/>
                <w:color w:val="0000FF"/>
                <w:w w:val="99"/>
              </w:rPr>
              <w:t>30</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80" w:type="dxa"/>
            <w:vAlign w:val="bottom"/>
            <w:gridSpan w:val="10"/>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2.</w:t>
            </w:r>
          </w:p>
        </w:tc>
        <w:tc>
          <w:tcPr>
            <w:tcW w:w="4280" w:type="dxa"/>
            <w:vAlign w:val="bottom"/>
            <w:tcBorders>
              <w:bottom w:val="single" w:sz="8" w:color="0000FF"/>
            </w:tcBorders>
            <w:gridSpan w:val="14"/>
          </w:tcPr>
          <w:p>
            <w:pPr>
              <w:spacing w:after="0" w:line="206" w:lineRule="exact"/>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5040" w:type="dxa"/>
            <w:vAlign w:val="bottom"/>
            <w:gridSpan w:val="5"/>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206" w:lineRule="exact"/>
              <w:rPr>
                <w:sz w:val="20"/>
                <w:szCs w:val="20"/>
                <w:color w:val="auto"/>
              </w:rPr>
            </w:pPr>
            <w:r>
              <w:rPr>
                <w:rFonts w:ascii="Times New Roman" w:cs="Times New Roman" w:eastAsia="Times New Roman" w:hAnsi="Times New Roman"/>
                <w:sz w:val="18"/>
                <w:szCs w:val="18"/>
                <w:color w:val="0000FF"/>
                <w:w w:val="99"/>
              </w:rPr>
              <w:t>30</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5.</w:t>
            </w:r>
          </w:p>
        </w:tc>
        <w:tc>
          <w:tcPr>
            <w:tcW w:w="1300" w:type="dxa"/>
            <w:vAlign w:val="bottom"/>
            <w:tcBorders>
              <w:bottom w:val="single" w:sz="8" w:color="0000FF"/>
            </w:tcBorders>
            <w:gridSpan w:val="4"/>
          </w:tcPr>
          <w:p>
            <w:pPr>
              <w:spacing w:after="0" w:line="206" w:lineRule="exact"/>
              <w:rPr>
                <w:sz w:val="20"/>
                <w:szCs w:val="20"/>
                <w:color w:val="auto"/>
              </w:rPr>
            </w:pPr>
            <w:r>
              <w:rPr>
                <w:rFonts w:ascii="Times New Roman" w:cs="Times New Roman" w:eastAsia="Times New Roman" w:hAnsi="Times New Roman"/>
                <w:sz w:val="18"/>
                <w:szCs w:val="18"/>
                <w:color w:val="0000FF"/>
                <w:w w:val="97"/>
              </w:rPr>
              <w:t>Other Information</w:t>
            </w:r>
          </w:p>
        </w:tc>
        <w:tc>
          <w:tcPr>
            <w:tcW w:w="8020" w:type="dxa"/>
            <w:vAlign w:val="bottom"/>
            <w:gridSpan w:val="15"/>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206" w:lineRule="exact"/>
              <w:rPr>
                <w:sz w:val="20"/>
                <w:szCs w:val="20"/>
                <w:color w:val="auto"/>
              </w:rPr>
            </w:pPr>
            <w:r>
              <w:rPr>
                <w:rFonts w:ascii="Times New Roman" w:cs="Times New Roman" w:eastAsia="Times New Roman" w:hAnsi="Times New Roman"/>
                <w:sz w:val="18"/>
                <w:szCs w:val="18"/>
                <w:color w:val="0000FF"/>
                <w:w w:val="99"/>
              </w:rPr>
              <w:t>30</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Item 6.</w:t>
            </w:r>
          </w:p>
        </w:tc>
        <w:tc>
          <w:tcPr>
            <w:tcW w:w="9320" w:type="dxa"/>
            <w:vAlign w:val="bottom"/>
            <w:gridSpan w:val="19"/>
          </w:tcPr>
          <w:p>
            <w:pPr>
              <w:spacing w:after="0" w:line="206" w:lineRule="exact"/>
              <w:rPr>
                <w:sz w:val="20"/>
                <w:szCs w:val="20"/>
                <w:color w:val="auto"/>
              </w:rPr>
            </w:pPr>
            <w:r>
              <w:rPr>
                <w:rFonts w:ascii="Times New Roman" w:cs="Times New Roman" w:eastAsia="Times New Roman" w:hAnsi="Times New Roman"/>
                <w:sz w:val="18"/>
                <w:szCs w:val="18"/>
                <w:color w:val="0000FF"/>
              </w:rPr>
              <w:t>Exhibits</w:t>
            </w:r>
          </w:p>
        </w:tc>
        <w:tc>
          <w:tcPr>
            <w:tcW w:w="500" w:type="dxa"/>
            <w:vAlign w:val="bottom"/>
            <w:gridSpan w:val="4"/>
          </w:tcPr>
          <w:p>
            <w:pPr>
              <w:jc w:val="center"/>
              <w:ind w:left="233"/>
              <w:spacing w:after="0" w:line="206" w:lineRule="exact"/>
              <w:rPr>
                <w:sz w:val="20"/>
                <w:szCs w:val="20"/>
                <w:color w:val="auto"/>
              </w:rPr>
            </w:pPr>
            <w:r>
              <w:rPr>
                <w:rFonts w:ascii="Times New Roman" w:cs="Times New Roman" w:eastAsia="Times New Roman" w:hAnsi="Times New Roman"/>
                <w:sz w:val="18"/>
                <w:szCs w:val="18"/>
                <w:color w:val="0000FF"/>
                <w:w w:val="99"/>
              </w:rPr>
              <w:t>32</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0000FF"/>
              </w:rPr>
              <w:t>Signatures</w:t>
            </w:r>
          </w:p>
        </w:tc>
        <w:tc>
          <w:tcPr>
            <w:tcW w:w="3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FF"/>
            </w:tcBorders>
            <w:gridSpan w:val="3"/>
          </w:tcPr>
          <w:p>
            <w:pPr>
              <w:jc w:val="center"/>
              <w:spacing w:after="0" w:line="206" w:lineRule="exact"/>
              <w:rPr>
                <w:sz w:val="20"/>
                <w:szCs w:val="20"/>
                <w:color w:val="auto"/>
              </w:rPr>
            </w:pPr>
            <w:r>
              <w:rPr>
                <w:rFonts w:ascii="Times New Roman" w:cs="Times New Roman" w:eastAsia="Times New Roman" w:hAnsi="Times New Roman"/>
                <w:sz w:val="18"/>
                <w:szCs w:val="18"/>
                <w:color w:val="0000FF"/>
                <w:w w:val="99"/>
              </w:rPr>
              <w:t>33</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6"/>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ITEM 1.</w:t>
            </w:r>
          </w:p>
        </w:tc>
        <w:tc>
          <w:tcPr>
            <w:tcW w:w="26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90"/>
        </w:trPr>
        <w:tc>
          <w:tcPr>
            <w:tcW w:w="6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2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MACOM TECHNOLOGY SOLUTIONS HOLDINGS, INC.</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2"/>
        </w:trPr>
        <w:tc>
          <w:tcPr>
            <w:tcW w:w="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CONDENSED CONSOLIDATED BALANCE SHEETS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(Unaudited, in thousands)</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58"/>
        </w:trPr>
        <w:tc>
          <w:tcPr>
            <w:tcW w:w="6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40"/>
              <w:spacing w:after="0" w:line="159"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40" w:type="dxa"/>
            <w:vAlign w:val="bottom"/>
          </w:tcPr>
          <w:p>
            <w:pPr>
              <w:spacing w:after="0"/>
              <w:rPr>
                <w:sz w:val="13"/>
                <w:szCs w:val="13"/>
                <w:color w:val="auto"/>
              </w:rPr>
            </w:pPr>
          </w:p>
        </w:tc>
        <w:tc>
          <w:tcPr>
            <w:tcW w:w="1180" w:type="dxa"/>
            <w:vAlign w:val="bottom"/>
          </w:tcPr>
          <w:p>
            <w:pPr>
              <w:jc w:val="right"/>
              <w:ind w:right="321"/>
              <w:spacing w:after="0" w:line="159" w:lineRule="exact"/>
              <w:rPr>
                <w:sz w:val="20"/>
                <w:szCs w:val="20"/>
                <w:color w:val="auto"/>
              </w:rPr>
            </w:pPr>
            <w:r>
              <w:rPr>
                <w:rFonts w:ascii="Times New Roman" w:cs="Times New Roman" w:eastAsia="Times New Roman" w:hAnsi="Times New Roman"/>
                <w:sz w:val="14"/>
                <w:szCs w:val="14"/>
                <w:b w:val="1"/>
                <w:bCs w:val="1"/>
                <w:color w:val="auto"/>
              </w:rPr>
              <w:t>October 3,</w:t>
            </w:r>
          </w:p>
        </w:tc>
      </w:tr>
      <w:tr>
        <w:trPr>
          <w:trHeight w:val="193"/>
        </w:trPr>
        <w:tc>
          <w:tcPr>
            <w:tcW w:w="66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spacing w:after="0"/>
              <w:rPr>
                <w:sz w:val="16"/>
                <w:szCs w:val="16"/>
                <w:color w:val="auto"/>
              </w:rPr>
            </w:pPr>
          </w:p>
        </w:tc>
        <w:tc>
          <w:tcPr>
            <w:tcW w:w="49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9"/>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20" w:type="dxa"/>
            <w:vAlign w:val="bottom"/>
            <w:shd w:val="clear" w:color="auto" w:fill="CCEEFF"/>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5"/>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112,142</w:t>
            </w:r>
          </w:p>
        </w:tc>
      </w:tr>
      <w:tr>
        <w:trPr>
          <w:trHeight w:val="210"/>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Short-term investments</w:t>
            </w: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648,848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673,833</w:t>
            </w:r>
          </w:p>
        </w:tc>
      </w:tr>
      <w:tr>
        <w:trPr>
          <w:trHeight w:val="215"/>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4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148,646</w:t>
            </w:r>
          </w:p>
        </w:tc>
      </w:tr>
      <w:tr>
        <w:trPr>
          <w:trHeight w:val="210"/>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238,905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237,844</w:t>
            </w:r>
          </w:p>
        </w:tc>
      </w:tr>
      <w:tr>
        <w:trPr>
          <w:trHeight w:val="215"/>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49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32,623</w:t>
            </w:r>
          </w:p>
        </w:tc>
      </w:tr>
      <w:tr>
        <w:trPr>
          <w:trHeight w:val="204"/>
        </w:trPr>
        <w:tc>
          <w:tcPr>
            <w:tcW w:w="660" w:type="dxa"/>
            <w:vAlign w:val="bottom"/>
          </w:tcPr>
          <w:p>
            <w:pPr>
              <w:spacing w:after="0"/>
              <w:rPr>
                <w:sz w:val="17"/>
                <w:szCs w:val="17"/>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4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1,206,010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1,205,088</w:t>
            </w:r>
          </w:p>
        </w:tc>
      </w:tr>
      <w:tr>
        <w:trPr>
          <w:trHeight w:val="215"/>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4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230,291</w:t>
            </w:r>
          </w:p>
        </w:tc>
      </w:tr>
      <w:tr>
        <w:trPr>
          <w:trHeight w:val="210"/>
        </w:trPr>
        <w:tc>
          <w:tcPr>
            <w:tcW w:w="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335,710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336,315</w:t>
            </w:r>
          </w:p>
        </w:tc>
      </w:tr>
      <w:tr>
        <w:trPr>
          <w:trHeight w:val="215"/>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4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78,570</w:t>
            </w:r>
          </w:p>
        </w:tc>
      </w:tr>
      <w:tr>
        <w:trPr>
          <w:trHeight w:val="21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207,999</w:t>
            </w:r>
          </w:p>
        </w:tc>
      </w:tr>
      <w:tr>
        <w:trPr>
          <w:trHeight w:val="215"/>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49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48,521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45,097</w:t>
            </w:r>
          </w:p>
        </w:tc>
      </w:tr>
      <w:tr>
        <w:trPr>
          <w:trHeight w:val="204"/>
        </w:trPr>
        <w:tc>
          <w:tcPr>
            <w:tcW w:w="660" w:type="dxa"/>
            <w:vAlign w:val="bottom"/>
          </w:tcPr>
          <w:p>
            <w:pPr>
              <w:spacing w:after="0"/>
              <w:rPr>
                <w:sz w:val="17"/>
                <w:szCs w:val="17"/>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496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2,105,528</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2,103,360</w:t>
            </w:r>
          </w:p>
        </w:tc>
      </w:tr>
      <w:tr>
        <w:trPr>
          <w:trHeight w:val="20"/>
        </w:trPr>
        <w:tc>
          <w:tcPr>
            <w:tcW w:w="66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1"/>
        </w:trPr>
        <w:tc>
          <w:tcPr>
            <w:tcW w:w="32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w w:val="99"/>
              </w:rPr>
              <w:t>LIABILITIES AND STOCKHOLDERS' EQUITY</w:t>
            </w:r>
          </w:p>
        </w:tc>
        <w:tc>
          <w:tcPr>
            <w:tcW w:w="4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1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5"/>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Short-term debt</w:t>
            </w:r>
          </w:p>
        </w:tc>
        <w:tc>
          <w:tcPr>
            <w:tcW w:w="5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160,946</w:t>
            </w:r>
          </w:p>
        </w:tc>
      </w:tr>
      <w:tr>
        <w:trPr>
          <w:trHeight w:val="210"/>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67,588</w:t>
            </w:r>
          </w:p>
        </w:tc>
      </w:tr>
      <w:tr>
        <w:trPr>
          <w:trHeight w:val="215"/>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liabilities</w:t>
            </w:r>
          </w:p>
        </w:tc>
        <w:tc>
          <w:tcPr>
            <w:tcW w:w="4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95,959</w:t>
            </w:r>
          </w:p>
        </w:tc>
      </w:tr>
      <w:tr>
        <w:trPr>
          <w:trHeight w:val="210"/>
        </w:trPr>
        <w:tc>
          <w:tcPr>
            <w:tcW w:w="32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Current portion of finance lease obligations</w:t>
            </w:r>
          </w:p>
        </w:tc>
        <w:tc>
          <w:tcPr>
            <w:tcW w:w="49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w:t>
            </w:r>
          </w:p>
        </w:tc>
      </w:tr>
      <w:tr>
        <w:trPr>
          <w:trHeight w:val="208"/>
        </w:trPr>
        <w:tc>
          <w:tcPr>
            <w:tcW w:w="6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325,119</w:t>
            </w:r>
          </w:p>
        </w:tc>
      </w:tr>
      <w:tr>
        <w:trPr>
          <w:trHeight w:val="21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Finance lease obligations, less current portion</w:t>
            </w: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30,504</w:t>
            </w:r>
          </w:p>
        </w:tc>
      </w:tr>
      <w:tr>
        <w:trPr>
          <w:trHeight w:val="215"/>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obligation</w:t>
            </w:r>
          </w:p>
        </w:tc>
        <w:tc>
          <w:tcPr>
            <w:tcW w:w="4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37,014</w:t>
            </w:r>
          </w:p>
        </w:tc>
      </w:tr>
      <w:tr>
        <w:trPr>
          <w:trHeight w:val="21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339,908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339,630</w:t>
            </w:r>
          </w:p>
        </w:tc>
      </w:tr>
      <w:tr>
        <w:trPr>
          <w:trHeight w:val="215"/>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49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40,762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43,998</w:t>
            </w:r>
          </w:p>
        </w:tc>
      </w:tr>
      <w:tr>
        <w:trPr>
          <w:trHeight w:val="204"/>
        </w:trPr>
        <w:tc>
          <w:tcPr>
            <w:tcW w:w="660" w:type="dxa"/>
            <w:vAlign w:val="bottom"/>
          </w:tcPr>
          <w:p>
            <w:pPr>
              <w:spacing w:after="0"/>
              <w:rPr>
                <w:sz w:val="17"/>
                <w:szCs w:val="17"/>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4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752,410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776,265</w:t>
            </w:r>
          </w:p>
        </w:tc>
      </w:tr>
      <w:tr>
        <w:trPr>
          <w:trHeight w:val="215"/>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(see Note 13)</w:t>
            </w:r>
          </w:p>
        </w:tc>
        <w:tc>
          <w:tcPr>
            <w:tcW w:w="4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5"/>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stock</w:t>
            </w:r>
          </w:p>
        </w:tc>
        <w:tc>
          <w:tcPr>
            <w:tcW w:w="4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0"/>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Treasury stock, at cost</w:t>
            </w: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r>
      <w:tr>
        <w:trPr>
          <w:trHeight w:val="215"/>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4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5,034</w:t>
            </w:r>
          </w:p>
        </w:tc>
      </w:tr>
      <w:tr>
        <w:trPr>
          <w:trHeight w:val="210"/>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1,540,056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1,562,377</w:t>
            </w:r>
          </w:p>
        </w:tc>
      </w:tr>
      <w:tr>
        <w:trPr>
          <w:trHeight w:val="215"/>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deficit</w:t>
            </w:r>
          </w:p>
        </w:tc>
        <w:tc>
          <w:tcPr>
            <w:tcW w:w="49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(191,293)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(240,060)</w:t>
            </w:r>
          </w:p>
        </w:tc>
      </w:tr>
      <w:tr>
        <w:trPr>
          <w:trHeight w:val="204"/>
        </w:trPr>
        <w:tc>
          <w:tcPr>
            <w:tcW w:w="660" w:type="dxa"/>
            <w:vAlign w:val="bottom"/>
            <w:tcBorders>
              <w:bottom w:val="single" w:sz="8" w:color="CCEEFF"/>
            </w:tcBorders>
          </w:tcPr>
          <w:p>
            <w:pPr>
              <w:spacing w:after="0"/>
              <w:rPr>
                <w:sz w:val="17"/>
                <w:szCs w:val="17"/>
                <w:color w:val="auto"/>
              </w:rPr>
            </w:pPr>
          </w:p>
        </w:tc>
        <w:tc>
          <w:tcPr>
            <w:tcW w:w="2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9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1,353,118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1,327,095</w:t>
            </w:r>
          </w:p>
        </w:tc>
      </w:tr>
      <w:tr>
        <w:trPr>
          <w:trHeight w:val="231"/>
        </w:trPr>
        <w:tc>
          <w:tcPr>
            <w:tcW w:w="66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2,105,528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2,103,360</w:t>
            </w: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69850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40" w:top="876"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MACOM TECHNOLOGY SOLUTIONS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4"/>
        </w:trPr>
        <w:tc>
          <w:tcPr>
            <w:tcW w:w="8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28"/>
        </w:trPr>
        <w:tc>
          <w:tcPr>
            <w:tcW w:w="8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40"/>
              <w:spacing w:after="0" w:line="128"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40" w:type="dxa"/>
            <w:vAlign w:val="bottom"/>
          </w:tcPr>
          <w:p>
            <w:pPr>
              <w:spacing w:after="0"/>
              <w:rPr>
                <w:sz w:val="11"/>
                <w:szCs w:val="11"/>
                <w:color w:val="auto"/>
              </w:rPr>
            </w:pPr>
          </w:p>
        </w:tc>
        <w:tc>
          <w:tcPr>
            <w:tcW w:w="1180" w:type="dxa"/>
            <w:vAlign w:val="bottom"/>
          </w:tcPr>
          <w:p>
            <w:pPr>
              <w:jc w:val="right"/>
              <w:ind w:right="301"/>
              <w:spacing w:after="0" w:line="128" w:lineRule="exact"/>
              <w:rPr>
                <w:sz w:val="20"/>
                <w:szCs w:val="20"/>
                <w:color w:val="auto"/>
              </w:rPr>
            </w:pPr>
            <w:r>
              <w:rPr>
                <w:rFonts w:ascii="Times New Roman" w:cs="Times New Roman" w:eastAsia="Times New Roman" w:hAnsi="Times New Roman"/>
                <w:sz w:val="14"/>
                <w:szCs w:val="14"/>
                <w:b w:val="1"/>
                <w:bCs w:val="1"/>
                <w:color w:val="auto"/>
              </w:rPr>
              <w:t>January 3,</w:t>
            </w:r>
          </w:p>
        </w:tc>
      </w:tr>
      <w:tr>
        <w:trPr>
          <w:trHeight w:val="192"/>
        </w:trPr>
        <w:tc>
          <w:tcPr>
            <w:tcW w:w="8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218,122</w:t>
            </w:r>
          </w:p>
        </w:tc>
      </w:tr>
      <w:tr>
        <w:trPr>
          <w:trHeight w:val="21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119,833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101,013</w:t>
            </w:r>
          </w:p>
        </w:tc>
      </w:tr>
      <w:tr>
        <w:trPr>
          <w:trHeight w:val="20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151,779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117,109</w:t>
            </w:r>
          </w:p>
        </w:tc>
      </w:t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5"/>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60,369</w:t>
            </w:r>
          </w:p>
        </w:tc>
      </w:tr>
      <w:tr>
        <w:trPr>
          <w:trHeight w:val="210"/>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39,213</w:t>
            </w:r>
          </w:p>
        </w:tc>
      </w:tr>
      <w:tr>
        <w:trPr>
          <w:trHeight w:val="208"/>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108,482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99,582</w:t>
            </w:r>
          </w:p>
        </w:tc>
      </w:tr>
      <w:tr>
        <w:trPr>
          <w:trHeight w:val="204"/>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43,297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17,527</w:t>
            </w:r>
          </w:p>
        </w:tc>
      </w:tr>
      <w:tr>
        <w:trPr>
          <w:trHeight w:val="19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0"/>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r>
      <w:tr>
        <w:trPr>
          <w:trHeight w:val="215"/>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w:t>
            </w:r>
          </w:p>
        </w:tc>
      </w:tr>
      <w:tr>
        <w:trPr>
          <w:trHeight w:val="210"/>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(193,098)</w:t>
            </w:r>
          </w:p>
        </w:tc>
      </w:tr>
      <w:tr>
        <w:trPr>
          <w:trHeight w:val="208"/>
        </w:trPr>
        <w:tc>
          <w:tcPr>
            <w:tcW w:w="824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(187,464)</w:t>
            </w:r>
          </w:p>
        </w:tc>
      </w:tr>
      <w:tr>
        <w:trPr>
          <w:trHeight w:val="20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49,589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(169,937)</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w:t>
            </w:r>
          </w:p>
        </w:tc>
      </w:tr>
      <w:tr>
        <w:trPr>
          <w:trHeight w:val="208"/>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48,767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(167,530)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2"/>
        </w:trPr>
        <w:tc>
          <w:tcPr>
            <w:tcW w:w="8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per share:</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5"/>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Income (loss) per share - Basic</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10"/>
        </w:trPr>
        <w:tc>
          <w:tcPr>
            <w:tcW w:w="8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Income (loss) per share - Diluted</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2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15"/>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0"/>
        </w:trPr>
        <w:tc>
          <w:tcPr>
            <w:tcW w:w="8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72,780</w:t>
            </w:r>
          </w:p>
        </w:tc>
      </w:tr>
      <w:tr>
        <w:trPr>
          <w:trHeight w:val="215"/>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72,780</w:t>
            </w:r>
          </w:p>
        </w:tc>
      </w:tr>
    </w:tbl>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69850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40" w:top="1115" w:right="359" w:bottom="1440" w:gutter="0" w:footer="0" w:header="0"/>
        </w:sectPr>
      </w:pPr>
    </w:p>
    <w:bookmarkStart w:id="4" w:name="page5"/>
    <w:bookmarkEnd w:id="4"/>
    <w:p>
      <w:pPr>
        <w:jc w:val="center"/>
        <w:spacing w:after="0" w:line="261" w:lineRule="auto"/>
        <w:rPr>
          <w:sz w:val="20"/>
          <w:szCs w:val="20"/>
          <w:color w:val="auto"/>
        </w:rPr>
      </w:pPr>
      <w:r>
        <w:rPr>
          <w:rFonts w:ascii="Times New Roman" w:cs="Times New Roman" w:eastAsia="Times New Roman" w:hAnsi="Times New Roman"/>
          <w:sz w:val="18"/>
          <w:szCs w:val="18"/>
          <w:b w:val="1"/>
          <w:bCs w:val="1"/>
          <w:color w:val="auto"/>
        </w:rPr>
        <w:t>MACOM TECHNOLOGY SOLUTIONS HOLDINGS, INC. CONDENSED CONSOLIDATED STATEMENTS OF COMPREHENSIVE INCOME (LOSS) (Unaudited,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jc w:val="right"/>
              <w:ind w:right="76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4"/>
        </w:trPr>
        <w:tc>
          <w:tcPr>
            <w:tcW w:w="8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28"/>
        </w:trPr>
        <w:tc>
          <w:tcPr>
            <w:tcW w:w="8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40"/>
              <w:spacing w:after="0" w:line="128"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40" w:type="dxa"/>
            <w:vAlign w:val="bottom"/>
          </w:tcPr>
          <w:p>
            <w:pPr>
              <w:spacing w:after="0"/>
              <w:rPr>
                <w:sz w:val="11"/>
                <w:szCs w:val="11"/>
                <w:color w:val="auto"/>
              </w:rPr>
            </w:pPr>
          </w:p>
        </w:tc>
        <w:tc>
          <w:tcPr>
            <w:tcW w:w="1180" w:type="dxa"/>
            <w:vAlign w:val="bottom"/>
          </w:tcPr>
          <w:p>
            <w:pPr>
              <w:jc w:val="right"/>
              <w:ind w:right="303"/>
              <w:spacing w:after="0" w:line="128" w:lineRule="exact"/>
              <w:rPr>
                <w:sz w:val="20"/>
                <w:szCs w:val="20"/>
                <w:color w:val="auto"/>
              </w:rPr>
            </w:pPr>
            <w:r>
              <w:rPr>
                <w:rFonts w:ascii="Times New Roman" w:cs="Times New Roman" w:eastAsia="Times New Roman" w:hAnsi="Times New Roman"/>
                <w:sz w:val="14"/>
                <w:szCs w:val="14"/>
                <w:b w:val="1"/>
                <w:bCs w:val="1"/>
                <w:color w:val="auto"/>
              </w:rPr>
              <w:t>January 3,</w:t>
            </w:r>
          </w:p>
        </w:tc>
      </w:tr>
      <w:tr>
        <w:trPr>
          <w:trHeight w:val="192"/>
        </w:trPr>
        <w:tc>
          <w:tcPr>
            <w:tcW w:w="8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(167,530)</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loss on short term investments, net of tax</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w:t>
            </w:r>
          </w:p>
        </w:tc>
      </w:tr>
      <w:tr>
        <w:trPr>
          <w:trHeight w:val="21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loss, net of tax</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w:t>
            </w:r>
          </w:p>
        </w:tc>
      </w:tr>
      <w:tr>
        <w:trPr>
          <w:trHeight w:val="204"/>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(3,625)</w:t>
            </w:r>
          </w:p>
        </w:tc>
      </w:tr>
      <w:tr>
        <w:trPr>
          <w:trHeight w:val="23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48,343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(171,155)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69850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40" w:top="876" w:right="359" w:bottom="1440" w:gutter="0" w:footer="0" w:header="0"/>
        </w:sectPr>
      </w:pPr>
    </w:p>
    <w:bookmarkStart w:id="5" w:name="page6"/>
    <w:bookmarkEnd w:id="5"/>
    <w:p>
      <w:pPr>
        <w:jc w:val="center"/>
        <w:ind w:left="340" w:right="2400"/>
        <w:spacing w:after="0" w:line="261" w:lineRule="auto"/>
        <w:rPr>
          <w:sz w:val="20"/>
          <w:szCs w:val="20"/>
          <w:color w:val="auto"/>
        </w:rPr>
      </w:pPr>
      <w:r>
        <w:rPr>
          <w:rFonts w:ascii="Times New Roman" w:cs="Times New Roman" w:eastAsia="Times New Roman" w:hAnsi="Times New Roman"/>
          <w:sz w:val="18"/>
          <w:szCs w:val="18"/>
          <w:b w:val="1"/>
          <w:bCs w:val="1"/>
          <w:color w:val="auto"/>
        </w:rPr>
        <w:t>MACOM TECHNOLOGY SOLUTIONS HOLDINGS, INC. CONDENSED CONSOLIDATED STATEMENTS OF STOCKHOLDERS’ EQUITY (Unaudited,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80" w:type="dxa"/>
            <w:vAlign w:val="bottom"/>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January 2, 2026</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0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3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060" w:type="dxa"/>
            <w:vAlign w:val="bottom"/>
          </w:tcPr>
          <w:p>
            <w:pPr>
              <w:spacing w:after="0"/>
              <w:rPr>
                <w:sz w:val="13"/>
                <w:szCs w:val="13"/>
                <w:color w:val="auto"/>
              </w:rPr>
            </w:pPr>
          </w:p>
        </w:tc>
        <w:tc>
          <w:tcPr>
            <w:tcW w:w="1760" w:type="dxa"/>
            <w:vAlign w:val="bottom"/>
            <w:gridSpan w:val="5"/>
          </w:tcPr>
          <w:p>
            <w:pPr>
              <w:ind w:left="360"/>
              <w:spacing w:after="0" w:line="15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80" w:type="dxa"/>
            <w:vAlign w:val="bottom"/>
            <w:gridSpan w:val="5"/>
          </w:tcPr>
          <w:p>
            <w:pPr>
              <w:ind w:left="320"/>
              <w:spacing w:after="0" w:line="159"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3"/>
                <w:szCs w:val="13"/>
                <w:color w:val="auto"/>
              </w:rPr>
            </w:pPr>
          </w:p>
        </w:tc>
        <w:tc>
          <w:tcPr>
            <w:tcW w:w="124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92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20" w:type="dxa"/>
            <w:vAlign w:val="bottom"/>
          </w:tcPr>
          <w:p>
            <w:pPr>
              <w:jc w:val="center"/>
              <w:ind w:right="43"/>
              <w:spacing w:after="0" w:line="15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33"/>
        </w:trPr>
        <w:tc>
          <w:tcPr>
            <w:tcW w:w="3060" w:type="dxa"/>
            <w:vAlign w:val="bottom"/>
          </w:tcPr>
          <w:p>
            <w:pPr>
              <w:spacing w:after="0"/>
              <w:rPr>
                <w:sz w:val="11"/>
                <w:szCs w:val="11"/>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1"/>
                <w:szCs w:val="11"/>
                <w:color w:val="auto"/>
              </w:rPr>
            </w:pPr>
          </w:p>
        </w:tc>
        <w:tc>
          <w:tcPr>
            <w:tcW w:w="124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43"/>
              <w:spacing w:after="0" w:line="133"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92"/>
        </w:trPr>
        <w:tc>
          <w:tcPr>
            <w:tcW w:w="30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October 3, 2025</w:t>
            </w:r>
          </w:p>
        </w:tc>
        <w:tc>
          <w:tcPr>
            <w:tcW w:w="7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74,501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8"/>
                <w:szCs w:val="18"/>
                <w:color w:val="auto"/>
              </w:rPr>
            </w:pPr>
          </w:p>
        </w:tc>
        <w:tc>
          <w:tcPr>
            <w:tcW w:w="660" w:type="dxa"/>
            <w:vAlign w:val="bottom"/>
            <w:tcBorders>
              <w:top w:val="single" w:sz="8" w:color="auto"/>
            </w:tcBorders>
          </w:tcPr>
          <w:p>
            <w:pPr>
              <w:jc w:val="center"/>
              <w:ind w:left="262"/>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5,034</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1,562,377</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(240,060)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1,327,095</w:t>
            </w:r>
          </w:p>
        </w:tc>
        <w:tc>
          <w:tcPr>
            <w:tcW w:w="0" w:type="dxa"/>
            <w:vAlign w:val="bottom"/>
          </w:tcPr>
          <w:p>
            <w:pPr>
              <w:spacing w:after="0"/>
              <w:rPr>
                <w:sz w:val="1"/>
                <w:szCs w:val="1"/>
                <w:color w:val="auto"/>
              </w:rPr>
            </w:pPr>
          </w:p>
        </w:tc>
      </w:tr>
      <w:tr>
        <w:trPr>
          <w:trHeight w:val="215"/>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common stock and units</w:t>
            </w: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left="202"/>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59"/>
        </w:trPr>
        <w:tc>
          <w:tcPr>
            <w:tcW w:w="30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Issuance of common stock pursuant to</w:t>
            </w:r>
          </w:p>
        </w:tc>
        <w:tc>
          <w:tcPr>
            <w:tcW w:w="7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tcPr>
          <w:p>
            <w:pPr>
              <w:jc w:val="center"/>
              <w:ind w:left="202"/>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3"/>
                <w:szCs w:val="13"/>
                <w:color w:val="auto"/>
              </w:rPr>
            </w:pPr>
          </w:p>
        </w:tc>
        <w:tc>
          <w:tcPr>
            <w:tcW w:w="7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5,212</w:t>
            </w:r>
          </w:p>
        </w:tc>
        <w:tc>
          <w:tcPr>
            <w:tcW w:w="0" w:type="dxa"/>
            <w:vAlign w:val="bottom"/>
          </w:tcPr>
          <w:p>
            <w:pPr>
              <w:spacing w:after="0"/>
              <w:rPr>
                <w:sz w:val="1"/>
                <w:szCs w:val="1"/>
                <w:color w:val="auto"/>
              </w:rPr>
            </w:pPr>
          </w:p>
        </w:tc>
      </w:tr>
      <w:tr>
        <w:trPr>
          <w:trHeight w:val="210"/>
        </w:trPr>
        <w:tc>
          <w:tcPr>
            <w:tcW w:w="3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w w:val="99"/>
              </w:rPr>
              <w:t>Common stock withheld for taxes on employee</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shd w:val="clear" w:color="auto" w:fill="CCEEFF"/>
          </w:tcPr>
          <w:p>
            <w:pPr>
              <w:jc w:val="center"/>
              <w:ind w:left="202"/>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(49,671)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(49,671)</w:t>
            </w: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awards</w:t>
            </w: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center"/>
              <w:ind w:left="202"/>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22,138</w:t>
            </w:r>
          </w:p>
        </w:tc>
        <w:tc>
          <w:tcPr>
            <w:tcW w:w="0" w:type="dxa"/>
            <w:vAlign w:val="bottom"/>
          </w:tcPr>
          <w:p>
            <w:pPr>
              <w:spacing w:after="0"/>
              <w:rPr>
                <w:sz w:val="1"/>
                <w:szCs w:val="1"/>
                <w:color w:val="auto"/>
              </w:rPr>
            </w:pPr>
          </w:p>
        </w:tc>
      </w:tr>
      <w:tr>
        <w:trPr>
          <w:trHeight w:val="162"/>
        </w:trPr>
        <w:tc>
          <w:tcPr>
            <w:tcW w:w="30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 of common stock for settlement of</w:t>
            </w:r>
          </w:p>
        </w:tc>
        <w:tc>
          <w:tcPr>
            <w:tcW w:w="7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shd w:val="clear" w:color="auto" w:fill="CCEEFF"/>
          </w:tcPr>
          <w:p>
            <w:pPr>
              <w:jc w:val="center"/>
              <w:ind w:left="202"/>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center"/>
              <w:ind w:left="202"/>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center"/>
              <w:ind w:left="202"/>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48,767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48,767</w:t>
            </w:r>
          </w:p>
        </w:tc>
        <w:tc>
          <w:tcPr>
            <w:tcW w:w="0" w:type="dxa"/>
            <w:vAlign w:val="bottom"/>
          </w:tcPr>
          <w:p>
            <w:pPr>
              <w:spacing w:after="0"/>
              <w:rPr>
                <w:sz w:val="1"/>
                <w:szCs w:val="1"/>
                <w:color w:val="auto"/>
              </w:rPr>
            </w:pPr>
          </w:p>
        </w:tc>
      </w:tr>
      <w:tr>
        <w:trPr>
          <w:trHeight w:val="208"/>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January 2, 2026</w:t>
            </w: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75,034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center"/>
              <w:ind w:left="262"/>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1,540,056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(191,293)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1,353,118</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January 3, 2025</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140" w:type="dxa"/>
            <w:vAlign w:val="bottom"/>
          </w:tcPr>
          <w:p>
            <w:pPr>
              <w:spacing w:after="0"/>
              <w:rPr>
                <w:sz w:val="13"/>
                <w:szCs w:val="13"/>
                <w:color w:val="auto"/>
              </w:rPr>
            </w:pPr>
          </w:p>
        </w:tc>
        <w:tc>
          <w:tcPr>
            <w:tcW w:w="1680" w:type="dxa"/>
            <w:vAlign w:val="bottom"/>
            <w:gridSpan w:val="5"/>
          </w:tcPr>
          <w:p>
            <w:pPr>
              <w:ind w:left="32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60" w:type="dxa"/>
            <w:vAlign w:val="bottom"/>
            <w:gridSpan w:val="5"/>
          </w:tcPr>
          <w:p>
            <w:pPr>
              <w:ind w:left="320"/>
              <w:spacing w:after="0" w:line="157"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94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20" w:type="dxa"/>
            <w:vAlign w:val="bottom"/>
          </w:tcPr>
          <w:p>
            <w:pPr>
              <w:jc w:val="center"/>
              <w:ind w:right="43"/>
              <w:spacing w:after="0" w:line="157"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33"/>
        </w:trPr>
        <w:tc>
          <w:tcPr>
            <w:tcW w:w="3140" w:type="dxa"/>
            <w:vAlign w:val="bottom"/>
          </w:tcPr>
          <w:p>
            <w:pPr>
              <w:spacing w:after="0"/>
              <w:rPr>
                <w:sz w:val="11"/>
                <w:szCs w:val="11"/>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1"/>
                <w:szCs w:val="11"/>
                <w:color w:val="auto"/>
              </w:rPr>
            </w:pPr>
          </w:p>
        </w:tc>
        <w:tc>
          <w:tcPr>
            <w:tcW w:w="122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43"/>
              <w:spacing w:after="0" w:line="133"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September 27, 2024</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72,219</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center"/>
              <w:ind w:left="262"/>
              <w:spacing w:after="0"/>
              <w:rPr>
                <w:sz w:val="20"/>
                <w:szCs w:val="20"/>
                <w:color w:val="auto"/>
              </w:rPr>
            </w:pPr>
            <w:r>
              <w:rPr>
                <w:rFonts w:ascii="Times New Roman" w:cs="Times New Roman" w:eastAsia="Times New Roman" w:hAnsi="Times New Roman"/>
                <w:sz w:val="16"/>
                <w:szCs w:val="16"/>
                <w:color w:val="auto"/>
                <w:w w:val="97"/>
              </w:rPr>
              <w:t>(23)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w w:val="97"/>
              </w:rPr>
              <w:t>(330)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1,309,946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(185,850)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1,126,343</w:t>
            </w:r>
          </w:p>
        </w:tc>
        <w:tc>
          <w:tcPr>
            <w:tcW w:w="0" w:type="dxa"/>
            <w:vAlign w:val="bottom"/>
          </w:tcPr>
          <w:p>
            <w:pPr>
              <w:spacing w:after="0"/>
              <w:rPr>
                <w:sz w:val="1"/>
                <w:szCs w:val="1"/>
                <w:color w:val="auto"/>
              </w:rPr>
            </w:pPr>
          </w:p>
        </w:tc>
      </w:tr>
      <w:tr>
        <w:trPr>
          <w:trHeight w:val="21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common stock and units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center"/>
              <w:ind w:left="182"/>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314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Issuance of common stock pursuant to</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tcPr>
          <w:p>
            <w:pPr>
              <w:jc w:val="center"/>
              <w:ind w:left="182"/>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3"/>
                <w:szCs w:val="13"/>
                <w:color w:val="auto"/>
              </w:rPr>
            </w:pPr>
          </w:p>
        </w:tc>
        <w:tc>
          <w:tcPr>
            <w:tcW w:w="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4,537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4,537</w:t>
            </w:r>
          </w:p>
        </w:tc>
        <w:tc>
          <w:tcPr>
            <w:tcW w:w="0" w:type="dxa"/>
            <w:vAlign w:val="bottom"/>
          </w:tcPr>
          <w:p>
            <w:pPr>
              <w:spacing w:after="0"/>
              <w:rPr>
                <w:sz w:val="1"/>
                <w:szCs w:val="1"/>
                <w:color w:val="auto"/>
              </w:rPr>
            </w:pPr>
          </w:p>
        </w:tc>
      </w:tr>
      <w:tr>
        <w:trPr>
          <w:trHeight w:val="212"/>
        </w:trPr>
        <w:tc>
          <w:tcPr>
            <w:tcW w:w="3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1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Common stock withheld for taxes on employee</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shd w:val="clear" w:color="auto" w:fill="CCEEFF"/>
          </w:tcPr>
          <w:p>
            <w:pPr>
              <w:jc w:val="center"/>
              <w:ind w:left="182"/>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(40,273)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(40,273)</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awards</w:t>
            </w: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center"/>
              <w:ind w:left="182"/>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25,520</w:t>
            </w:r>
          </w:p>
        </w:tc>
        <w:tc>
          <w:tcPr>
            <w:tcW w:w="0" w:type="dxa"/>
            <w:vAlign w:val="bottom"/>
          </w:tcPr>
          <w:p>
            <w:pPr>
              <w:spacing w:after="0"/>
              <w:rPr>
                <w:sz w:val="1"/>
                <w:szCs w:val="1"/>
                <w:color w:val="auto"/>
              </w:rPr>
            </w:pPr>
          </w:p>
        </w:tc>
      </w:tr>
      <w:tr>
        <w:trPr>
          <w:trHeight w:val="162"/>
        </w:trPr>
        <w:tc>
          <w:tcPr>
            <w:tcW w:w="314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 of common stock for convertible note</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center"/>
              <w:ind w:left="182"/>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205,915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205,917</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exchange</w:t>
            </w: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center"/>
              <w:ind w:left="182"/>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center"/>
              <w:ind w:left="182"/>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(167,530)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(167,530)</w:t>
            </w:r>
          </w:p>
        </w:tc>
        <w:tc>
          <w:tcPr>
            <w:tcW w:w="0" w:type="dxa"/>
            <w:vAlign w:val="bottom"/>
          </w:tcPr>
          <w:p>
            <w:pPr>
              <w:spacing w:after="0"/>
              <w:rPr>
                <w:sz w:val="1"/>
                <w:szCs w:val="1"/>
                <w:color w:val="auto"/>
              </w:rPr>
            </w:pPr>
          </w:p>
        </w:tc>
      </w:tr>
      <w:tr>
        <w:trPr>
          <w:trHeight w:val="208"/>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January 3, 2025</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74,361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center"/>
              <w:ind w:left="262"/>
              <w:spacing w:after="0"/>
              <w:rPr>
                <w:sz w:val="20"/>
                <w:szCs w:val="20"/>
                <w:color w:val="auto"/>
              </w:rPr>
            </w:pPr>
            <w:r>
              <w:rPr>
                <w:rFonts w:ascii="Times New Roman" w:cs="Times New Roman" w:eastAsia="Times New Roman" w:hAnsi="Times New Roman"/>
                <w:sz w:val="16"/>
                <w:szCs w:val="16"/>
                <w:color w:val="auto"/>
                <w:w w:val="97"/>
              </w:rPr>
              <w:t>(23)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w w:val="97"/>
              </w:rPr>
              <w:t>(330)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1,505,645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(353,380)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1,150,889</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MACOM TECHNOLOGY SOLUTIONS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4"/>
        </w:trPr>
        <w:tc>
          <w:tcPr>
            <w:tcW w:w="8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8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2, 2026</w:t>
            </w:r>
          </w:p>
        </w:tc>
        <w:tc>
          <w:tcPr>
            <w:tcW w:w="100" w:type="dxa"/>
            <w:vAlign w:val="bottom"/>
          </w:tcPr>
          <w:p>
            <w:pPr>
              <w:spacing w:after="0"/>
              <w:rPr>
                <w:sz w:val="16"/>
                <w:szCs w:val="16"/>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January 3, 2025</w:t>
            </w:r>
          </w:p>
        </w:tc>
      </w:tr>
      <w:tr>
        <w:trPr>
          <w:trHeight w:val="199"/>
        </w:trPr>
        <w:tc>
          <w:tcPr>
            <w:tcW w:w="8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10"/>
        </w:trPr>
        <w:tc>
          <w:tcPr>
            <w:tcW w:w="8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48,767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(167,530)</w:t>
            </w:r>
          </w:p>
        </w:tc>
      </w:tr>
      <w:tr>
        <w:trPr>
          <w:trHeight w:val="215"/>
        </w:trPr>
        <w:tc>
          <w:tcPr>
            <w:tcW w:w="8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0"/>
        </w:trPr>
        <w:tc>
          <w:tcPr>
            <w:tcW w:w="87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Depreciation and intangibles amortization</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15,995</w:t>
            </w:r>
          </w:p>
        </w:tc>
      </w:tr>
      <w:tr>
        <w:trPr>
          <w:trHeight w:val="215"/>
        </w:trPr>
        <w:tc>
          <w:tcPr>
            <w:tcW w:w="8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25,520</w:t>
            </w:r>
          </w:p>
        </w:tc>
      </w:tr>
      <w:tr>
        <w:trPr>
          <w:trHeight w:val="210"/>
        </w:trPr>
        <w:tc>
          <w:tcPr>
            <w:tcW w:w="87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(6,266)</w:t>
            </w:r>
          </w:p>
        </w:tc>
      </w:tr>
      <w:tr>
        <w:trPr>
          <w:trHeight w:val="215"/>
        </w:trPr>
        <w:tc>
          <w:tcPr>
            <w:tcW w:w="8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193,098</w:t>
            </w:r>
          </w:p>
        </w:tc>
      </w:tr>
      <w:tr>
        <w:trPr>
          <w:trHeight w:val="210"/>
        </w:trPr>
        <w:tc>
          <w:tcPr>
            <w:tcW w:w="87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Amortization on marketable securities, net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w:t>
            </w:r>
          </w:p>
        </w:tc>
      </w:tr>
      <w:tr>
        <w:trPr>
          <w:trHeight w:val="215"/>
        </w:trPr>
        <w:tc>
          <w:tcPr>
            <w:tcW w:w="8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adjustments, net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w:t>
            </w:r>
          </w:p>
        </w:tc>
      </w:tr>
      <w:tr>
        <w:trPr>
          <w:trHeight w:val="210"/>
        </w:trPr>
        <w:tc>
          <w:tcPr>
            <w:tcW w:w="87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5"/>
        </w:trPr>
        <w:tc>
          <w:tcPr>
            <w:tcW w:w="87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Accounts receivable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14,946</w:t>
            </w:r>
          </w:p>
        </w:tc>
      </w:tr>
      <w:tr>
        <w:trPr>
          <w:trHeight w:val="210"/>
        </w:trPr>
        <w:tc>
          <w:tcPr>
            <w:tcW w:w="8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(4,610)</w:t>
            </w:r>
          </w:p>
        </w:tc>
      </w:tr>
      <w:tr>
        <w:trPr>
          <w:trHeight w:val="215"/>
        </w:trPr>
        <w:tc>
          <w:tcPr>
            <w:tcW w:w="87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0"/>
        </w:trPr>
        <w:tc>
          <w:tcPr>
            <w:tcW w:w="8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w:t>
            </w:r>
          </w:p>
        </w:tc>
      </w:tr>
      <w:tr>
        <w:trPr>
          <w:trHeight w:val="215"/>
        </w:trPr>
        <w:tc>
          <w:tcPr>
            <w:tcW w:w="87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(5,033)</w:t>
            </w:r>
          </w:p>
        </w:tc>
      </w:tr>
      <w:tr>
        <w:trPr>
          <w:trHeight w:val="210"/>
        </w:trPr>
        <w:tc>
          <w:tcPr>
            <w:tcW w:w="874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6"/>
                <w:szCs w:val="16"/>
                <w:color w:val="auto"/>
              </w:rPr>
              <w:t>Income taxes</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2,816</w:t>
            </w:r>
          </w:p>
        </w:tc>
      </w:tr>
      <w:tr>
        <w:trPr>
          <w:trHeight w:val="208"/>
        </w:trPr>
        <w:tc>
          <w:tcPr>
            <w:tcW w:w="8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42,925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66,659</w:t>
            </w:r>
          </w:p>
        </w:tc>
      </w:tr>
      <w:tr>
        <w:trPr>
          <w:trHeight w:val="190"/>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5"/>
        </w:trPr>
        <w:tc>
          <w:tcPr>
            <w:tcW w:w="8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(12,474)</w:t>
            </w:r>
          </w:p>
        </w:tc>
      </w:tr>
      <w:tr>
        <w:trPr>
          <w:trHeight w:val="210"/>
        </w:trPr>
        <w:tc>
          <w:tcPr>
            <w:tcW w:w="8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(5,340)</w:t>
            </w:r>
          </w:p>
        </w:tc>
      </w:tr>
      <w:tr>
        <w:trPr>
          <w:trHeight w:val="215"/>
        </w:trPr>
        <w:tc>
          <w:tcPr>
            <w:tcW w:w="8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software licenses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(6,075)</w:t>
            </w:r>
          </w:p>
        </w:tc>
      </w:tr>
      <w:tr>
        <w:trPr>
          <w:trHeight w:val="210"/>
        </w:trPr>
        <w:tc>
          <w:tcPr>
            <w:tcW w:w="8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sales and maturities of short-term investments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72,403</w:t>
            </w:r>
          </w:p>
        </w:tc>
      </w:tr>
      <w:tr>
        <w:trPr>
          <w:trHeight w:val="215"/>
        </w:trPr>
        <w:tc>
          <w:tcPr>
            <w:tcW w:w="8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(61,416)</w:t>
            </w:r>
          </w:p>
        </w:tc>
      </w:tr>
      <w:tr>
        <w:trPr>
          <w:trHeight w:val="210"/>
        </w:trPr>
        <w:tc>
          <w:tcPr>
            <w:tcW w:w="8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investing</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2,675</w:t>
            </w:r>
          </w:p>
        </w:tc>
      </w:tr>
      <w:tr>
        <w:trPr>
          <w:trHeight w:val="208"/>
        </w:trPr>
        <w:tc>
          <w:tcPr>
            <w:tcW w:w="87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(10,227)</w:t>
            </w:r>
          </w:p>
        </w:tc>
      </w:tr>
      <w:tr>
        <w:trPr>
          <w:trHeight w:val="190"/>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5"/>
        </w:trPr>
        <w:tc>
          <w:tcPr>
            <w:tcW w:w="8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convertible notes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86,629</w:t>
            </w:r>
          </w:p>
        </w:tc>
      </w:tr>
      <w:tr>
        <w:trPr>
          <w:trHeight w:val="210"/>
        </w:trPr>
        <w:tc>
          <w:tcPr>
            <w:tcW w:w="8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Repayment of convertible notes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8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for fee on convertible note exchange and debt issuance costs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(22,905)</w:t>
            </w:r>
          </w:p>
        </w:tc>
      </w:tr>
      <w:tr>
        <w:trPr>
          <w:trHeight w:val="210"/>
        </w:trPr>
        <w:tc>
          <w:tcPr>
            <w:tcW w:w="8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on finance leases and other financing activities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215"/>
        </w:trPr>
        <w:tc>
          <w:tcPr>
            <w:tcW w:w="8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employee stock purchases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w:t>
            </w:r>
          </w:p>
        </w:tc>
      </w:tr>
      <w:tr>
        <w:trPr>
          <w:trHeight w:val="210"/>
        </w:trPr>
        <w:tc>
          <w:tcPr>
            <w:tcW w:w="8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Common stock withheld for taxes on employee equity awards</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(47,916)</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(37,908)</w:t>
            </w:r>
          </w:p>
        </w:tc>
      </w:tr>
      <w:tr>
        <w:trPr>
          <w:trHeight w:val="208"/>
        </w:trPr>
        <w:tc>
          <w:tcPr>
            <w:tcW w:w="8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(44,195)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30,125</w:t>
            </w:r>
          </w:p>
        </w:tc>
      </w:tr>
      <w:tr>
        <w:trPr>
          <w:trHeight w:val="204"/>
        </w:trPr>
        <w:tc>
          <w:tcPr>
            <w:tcW w:w="8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Foreign currency effect on cash</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r>
      <w:tr>
        <w:trPr>
          <w:trHeight w:val="215"/>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85,893</w:t>
            </w:r>
          </w:p>
        </w:tc>
      </w:tr>
      <w:tr>
        <w:trPr>
          <w:trHeight w:val="210"/>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112,142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146,806</w:t>
            </w:r>
          </w:p>
        </w:tc>
      </w:tr>
      <w:tr>
        <w:trPr>
          <w:trHeight w:val="231"/>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119,646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232,699</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See notes to condensed consolidated financial statements. For supplemental disclosure of cash flow information, see </w:t>
      </w:r>
      <w:r>
        <w:rPr>
          <w:rFonts w:ascii="Times New Roman" w:cs="Times New Roman" w:eastAsia="Times New Roman" w:hAnsi="Times New Roman"/>
          <w:sz w:val="18"/>
          <w:szCs w:val="18"/>
          <w:i w:val="1"/>
          <w:iCs w:val="1"/>
          <w:color w:val="auto"/>
        </w:rPr>
        <w:t>Note 16.</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69850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40" w:top="876" w:right="359" w:bottom="1440" w:gutter="0" w:footer="0" w:header="0"/>
        </w:sectPr>
      </w:pPr>
    </w:p>
    <w:bookmarkStart w:id="7" w:name="page8"/>
    <w:bookmarkEnd w:id="7"/>
    <w:p>
      <w:pPr>
        <w:jc w:val="center"/>
        <w:spacing w:after="0" w:line="261" w:lineRule="auto"/>
        <w:rPr>
          <w:sz w:val="20"/>
          <w:szCs w:val="20"/>
          <w:color w:val="auto"/>
        </w:rPr>
      </w:pPr>
      <w:r>
        <w:rPr>
          <w:rFonts w:ascii="Times New Roman" w:cs="Times New Roman" w:eastAsia="Times New Roman" w:hAnsi="Times New Roman"/>
          <w:sz w:val="18"/>
          <w:szCs w:val="18"/>
          <w:b w:val="1"/>
          <w:bCs w:val="1"/>
          <w:color w:val="auto"/>
        </w:rPr>
        <w:t>MACOM TECHNOLOGY SOLUTIONS HOLDINGS, INC. NOTES TO CONDENSED CONSOLIDATED FINANCIAL STATEMENTS (Unaudited)</w:t>
      </w:r>
    </w:p>
    <w:p>
      <w:pPr>
        <w:spacing w:after="0" w:line="374" w:lineRule="exact"/>
        <w:rPr>
          <w:sz w:val="20"/>
          <w:szCs w:val="20"/>
          <w:color w:val="auto"/>
        </w:rPr>
      </w:pPr>
    </w:p>
    <w:p>
      <w:pPr>
        <w:ind w:left="320" w:hanging="314"/>
        <w:spacing w:after="0"/>
        <w:tabs>
          <w:tab w:leader="none" w:pos="3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12" w:lineRule="exact"/>
        <w:rPr>
          <w:sz w:val="20"/>
          <w:szCs w:val="20"/>
          <w:color w:val="auto"/>
        </w:rPr>
      </w:pPr>
    </w:p>
    <w:p>
      <w:pPr>
        <w:jc w:val="both"/>
        <w:ind w:firstLine="319"/>
        <w:spacing w:after="0" w:line="267" w:lineRule="auto"/>
        <w:rPr>
          <w:sz w:val="20"/>
          <w:szCs w:val="20"/>
          <w:color w:val="auto"/>
        </w:rPr>
      </w:pPr>
      <w:r>
        <w:rPr>
          <w:rFonts w:ascii="Times New Roman" w:cs="Times New Roman" w:eastAsia="Times New Roman" w:hAnsi="Times New Roman"/>
          <w:sz w:val="17"/>
          <w:szCs w:val="17"/>
          <w:b w:val="1"/>
          <w:bCs w:val="1"/>
          <w:color w:val="auto"/>
        </w:rPr>
        <w:t>Unaudited Interim Financial Information</w:t>
      </w:r>
      <w:r>
        <w:rPr>
          <w:rFonts w:ascii="Times New Roman" w:cs="Times New Roman" w:eastAsia="Times New Roman" w:hAnsi="Times New Roman"/>
          <w:sz w:val="17"/>
          <w:szCs w:val="17"/>
          <w:color w:val="auto"/>
        </w:rPr>
        <w:t>—The accompanying unaudited, condensed consolidated financial statements have been prepared according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rules and regulations of the United States (the “U.S.”) Securities and Exchange Commission (the “SEC”) and, in the opinion of management, reflect all adjustments, which include normal recurring adjustments, necessary for a fair statement of the condensed consolidated balance sheets, condensed consolidated statements of operations, comprehensive income (loss), stockholders’ equity and cash flows of MACOM Technology Solutions Holdings, Inc. (“MACOM,” the “Company,” “us,” “we” or “our”) for the periods presented. We prepare our interim financial information using the same accounting principles we use for our annual audited consolidated financial statements. Certain information and note disclosures normally included in the annual audited consolidated financial statements have been condensed or omitted in accordance with prescribed SEC rules. We believe that the disclosures made in our condensed consolidated financial statements and the accompanying notes are adequate to make the information presented not misleading.</w:t>
      </w:r>
    </w:p>
    <w:p>
      <w:pPr>
        <w:spacing w:after="0" w:line="68"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condensed consolidated balance sheet as of October 3, 2025 is as reported in our audited consolidated financial statements as of that date. Our accounting policies are described in the notes to our October 3, 2025 consolidated financial statements, which were included in our Annual Report on Form 10-K for our fiscal year ended October 3, 2025 filed with the SEC on November 14, 2025 (the “2025 Annual Report on Form 10-K”). We recommend that the financial statements included in this Quarterly Report on Form 10-Q be read in conjunction with the consolidated financial statements and notes included in our 2025 Annual Report on Form 10-K.</w:t>
      </w:r>
    </w:p>
    <w:p>
      <w:pPr>
        <w:spacing w:after="0" w:line="76"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b w:val="1"/>
          <w:bCs w:val="1"/>
          <w:color w:val="auto"/>
        </w:rPr>
        <w:t>Principles of Consolidation and Basis of Presentation</w:t>
      </w:r>
      <w:r>
        <w:rPr>
          <w:rFonts w:ascii="Times New Roman" w:cs="Times New Roman" w:eastAsia="Times New Roman" w:hAnsi="Times New Roman"/>
          <w:sz w:val="18"/>
          <w:szCs w:val="18"/>
          <w:color w:val="auto"/>
        </w:rPr>
        <w:t>—The accompanying condensed consolidated financial statements include our accounts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of our majority-owned subsidiaries. All intercompany balances and transactions have been eliminated in consolidation. In the condensed consolidated financial statements, certain prior year amounts within the condensed consolidated statement of cash flows have been reclassified to conform to the current year presentation.</w:t>
      </w:r>
    </w:p>
    <w:p>
      <w:pPr>
        <w:spacing w:after="0" w:line="75" w:lineRule="exact"/>
        <w:rPr>
          <w:sz w:val="20"/>
          <w:szCs w:val="20"/>
          <w:color w:val="auto"/>
        </w:rPr>
      </w:pPr>
    </w:p>
    <w:p>
      <w:pPr>
        <w:jc w:val="both"/>
        <w:ind w:firstLine="319"/>
        <w:spacing w:after="0" w:line="283" w:lineRule="auto"/>
        <w:rPr>
          <w:sz w:val="20"/>
          <w:szCs w:val="20"/>
          <w:color w:val="auto"/>
        </w:rPr>
      </w:pPr>
      <w:r>
        <w:rPr>
          <w:rFonts w:ascii="Times New Roman" w:cs="Times New Roman" w:eastAsia="Times New Roman" w:hAnsi="Times New Roman"/>
          <w:sz w:val="17"/>
          <w:szCs w:val="17"/>
          <w:color w:val="auto"/>
        </w:rPr>
        <w:t>We have a 52- or 53-week fiscal year ending on the Friday closest to the last day of September. Fiscal year 2026 includes 52 weeks and fiscal year 2025 included 53 weeks. To offset the effect of holidays, for fiscal years in which there are 53 weeks, we include the extra week arising in such fiscal years in the first fiscal quarter. Our first fiscal quarter ended January 2, 2026 included 13 weeks and the first fiscal quarter ended January 3, 2025 included 14 weeks.</w:t>
      </w:r>
    </w:p>
    <w:p>
      <w:pPr>
        <w:spacing w:after="0" w:line="50"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condensed consolidated financial statements in conformity with U.S. generally accepted accounting principles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(“GAAP”) requires management to make estimates and assumptions that affect the reported amounts of assets and liabilities during the reporting periods, the reported amounts of revenue and expenses during the reporting periods and the disclosure of contingent assets and liabilities at the date of the financial statements. On an ongoing basis, we base estimates and assumptions on historical experience, currently available information and various other factors that management believes to be reasonable under the circumstances. Actual results may differ materially from these estimates and assumptions. The accounting policies which our management believes involve the most significant application of judgment or involve complex estimation, are inventories and associated reserves; revenue reserves; business combinations; goodwill and intangible asset valuation; share-based compensation valuations and income taxes.</w:t>
      </w:r>
    </w:p>
    <w:p>
      <w:pPr>
        <w:spacing w:after="0" w:line="78"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b w:val="1"/>
          <w:bCs w:val="1"/>
          <w:color w:val="auto"/>
        </w:rPr>
        <w:t>Property and Equipment</w:t>
      </w:r>
      <w:r>
        <w:rPr>
          <w:rFonts w:ascii="Times New Roman" w:cs="Times New Roman" w:eastAsia="Times New Roman" w:hAnsi="Times New Roman"/>
          <w:sz w:val="18"/>
          <w:szCs w:val="18"/>
          <w:color w:val="auto"/>
        </w:rPr>
        <w:t>—Property and equipment is stated at cost, less accumulated depreciation and amortization. Expenditures for maintenance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repairs are charged to expense as incurred, whereas major improvements that significantly extend the useful life of the assets are capitalized as additions to property and equipment.</w:t>
      </w:r>
    </w:p>
    <w:p>
      <w:pPr>
        <w:spacing w:after="0" w:line="70"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As of September 28, 2024, the Company changed its accounting estimate for the expected useful lives of certain fabrication-related machinery and equipment. The Company evaluated its current asset base and reassessed the estimated useful lives of certain machinery and equipment in connection with its recent usage of older equipment, including considering the technological and physical obsolescence of such machinery and equipment. Based on our ability to re-use equipment across generations of process technologies and historical usage trends, the Company determined that the expected useful lives for certain fabrication-related machinery and equipment should be increased to ten years to reflect more closely the estimated economic lives of those assets. This change in estimate was applied prospectively effective for the first quarter of fiscal year 2025 and resulted in a decrease in depreciation expense of $0.7 million for the three months ended January 3, 2025, to cost of revenue. This benefit increased income from operations by $0.7 million and earnings per share by $0.01, for the three months ended January 3, 2025.</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r>
        <w:rPr>
          <w:rFonts w:ascii="Times New Roman" w:cs="Times New Roman" w:eastAsia="Times New Roman" w:hAnsi="Times New Roman"/>
          <w:sz w:val="18"/>
          <w:szCs w:val="18"/>
          <w:color w:val="auto"/>
        </w:rPr>
        <w:t>—Our Recent Accounting Pronouncements are described in our 2025 Annual Report on Form 10-K.</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8" w:name="page9"/>
    <w:bookmarkEnd w:id="8"/>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which improves disclosures about a public entity’s reportable segments and addresses requests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from investors and other allocators of capital for additional, more detailed information about a reportable segment’s expenses. The amendments in this update improve financial reporting by requiring disclosure of incremental segment information on an annual and interim basis for all public entities to enable investors to develop more decision-useful financial analyses. We adopted this ASU for the fiscal year ended October 3, 2025. This ASU was applied on a retrospective basis. See </w:t>
      </w:r>
      <w:r>
        <w:rPr>
          <w:rFonts w:ascii="Times New Roman" w:cs="Times New Roman" w:eastAsia="Times New Roman" w:hAnsi="Times New Roman"/>
          <w:sz w:val="18"/>
          <w:szCs w:val="18"/>
          <w:i w:val="1"/>
          <w:iCs w:val="1"/>
          <w:color w:val="auto"/>
        </w:rPr>
        <w:t>Note 17 - Segment Reporting and Geographic Information</w:t>
      </w:r>
      <w:r>
        <w:rPr>
          <w:rFonts w:ascii="Times New Roman" w:cs="Times New Roman" w:eastAsia="Times New Roman" w:hAnsi="Times New Roman"/>
          <w:sz w:val="18"/>
          <w:szCs w:val="18"/>
          <w:color w:val="auto"/>
        </w:rPr>
        <w:t xml:space="preserve"> for additional information on our interim disclosures.</w:t>
      </w:r>
    </w:p>
    <w:p>
      <w:pPr>
        <w:spacing w:after="0" w:line="7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Debt Instruments</w:t>
      </w:r>
      <w:r>
        <w:rPr>
          <w:rFonts w:ascii="Times New Roman" w:cs="Times New Roman" w:eastAsia="Times New Roman" w:hAnsi="Times New Roman"/>
          <w:sz w:val="18"/>
          <w:szCs w:val="18"/>
          <w:color w:val="auto"/>
        </w:rPr>
        <w:t>, which clarifies the requirements for determining whether certain settlements of convertible debt instruments should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accounted for as an induced conversion. We elected to early adopt ASU 2024-04 in the first quarter of fiscal year 2025 and applied the amendment when assessing the accounting treatment for our debt extinguishment (discussed in </w:t>
      </w:r>
      <w:r>
        <w:rPr>
          <w:rFonts w:ascii="Times New Roman" w:cs="Times New Roman" w:eastAsia="Times New Roman" w:hAnsi="Times New Roman"/>
          <w:sz w:val="18"/>
          <w:szCs w:val="18"/>
          <w:i w:val="1"/>
          <w:iCs w:val="1"/>
          <w:color w:val="auto"/>
        </w:rPr>
        <w:t>Note 10 - Debt</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Pronouncements for Adoption in Subsequent Periods</w:t>
      </w:r>
    </w:p>
    <w:p>
      <w:pPr>
        <w:spacing w:after="0" w:line="112"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greater disaggregation of income tax disclosures. The amendments in this update improve the transparency of income tax disclosures by requiring (1) consistent categories and greater disaggregation of information in the rate reconciliation and (2) income taxes paid disaggregated by jurisdiction. Other amendments in this update improve the effectiveness and comparability of disclosures by (1) adding disclosures of pretax income (or loss) and income tax expense (or benefit) and (2) removing disclosures that no longer are considered cost beneficial or relevant. This ASU should be applied on a prospective basis, with retrospective application permitted. The guidance in this update is effective for annual reporting periods beginning after December 15, 2024. We are currently evaluating the future effect the adoption of this ASU will have on our consolidated financial statements and related disclosures.</w:t>
      </w:r>
    </w:p>
    <w:p>
      <w:pPr>
        <w:spacing w:after="0" w:line="78"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Comprehensive Income - Expense Disaggregation Disclosures</w:t>
      </w:r>
      <w:r>
        <w:rPr>
          <w:rFonts w:ascii="Times New Roman" w:cs="Times New Roman" w:eastAsia="Times New Roman" w:hAnsi="Times New Roman"/>
          <w:sz w:val="18"/>
          <w:szCs w:val="18"/>
          <w:color w:val="auto"/>
        </w:rPr>
        <w:t xml:space="preserve">, as amended by ASU 2025-01, </w:t>
      </w:r>
      <w:r>
        <w:rPr>
          <w:rFonts w:ascii="Times New Roman" w:cs="Times New Roman" w:eastAsia="Times New Roman" w:hAnsi="Times New Roman"/>
          <w:sz w:val="18"/>
          <w:szCs w:val="18"/>
          <w:i w:val="1"/>
          <w:iCs w:val="1"/>
          <w:color w:val="auto"/>
        </w:rPr>
        <w:t>Income Statement Reporting Comprehensive Income - Expense Disaggregation Disclosures: Clarifying the Effective Date,</w:t>
      </w:r>
      <w:r>
        <w:rPr>
          <w:rFonts w:ascii="Times New Roman" w:cs="Times New Roman" w:eastAsia="Times New Roman" w:hAnsi="Times New Roman"/>
          <w:sz w:val="18"/>
          <w:szCs w:val="18"/>
          <w:color w:val="auto"/>
        </w:rPr>
        <w:t xml:space="preserve"> which requires disclosure, in the notes to financial statements, of specified information about certain costs and expenses. The amendments in this update improve financial reporting by requiring that public business entities disclose additional information about specific expense categories in the notes to financial statements at interim and annual reporting periods. This ASU should be applied on a prospective basis, with retrospective application permitted. The amendments in this update are effective for annual reporting periods beginning after December 15, 2026 and interim periods within annual reporting periods beginning after December 15, 2027, with early adoption permitted. We are currently evaluating the future effect the adoption of this ASU will have on our consolidated financial statements and related disclosures.</w:t>
      </w:r>
    </w:p>
    <w:p>
      <w:pPr>
        <w:spacing w:after="0" w:line="81" w:lineRule="exact"/>
        <w:rPr>
          <w:sz w:val="20"/>
          <w:szCs w:val="20"/>
          <w:color w:val="auto"/>
        </w:rPr>
      </w:pPr>
    </w:p>
    <w:p>
      <w:pPr>
        <w:jc w:val="both"/>
        <w:ind w:firstLine="319"/>
        <w:spacing w:after="0" w:line="254" w:lineRule="auto"/>
        <w:rPr>
          <w:sz w:val="20"/>
          <w:szCs w:val="20"/>
          <w:color w:val="auto"/>
        </w:rPr>
      </w:pPr>
      <w:r>
        <w:rPr>
          <w:rFonts w:ascii="Times New Roman" w:cs="Times New Roman" w:eastAsia="Times New Roman" w:hAnsi="Times New Roman"/>
          <w:sz w:val="18"/>
          <w:szCs w:val="18"/>
          <w:color w:val="auto"/>
        </w:rPr>
        <w:t>In September 2025, the FASB issued ASU 2025-06, “</w:t>
      </w:r>
      <w:r>
        <w:rPr>
          <w:rFonts w:ascii="Times New Roman" w:cs="Times New Roman" w:eastAsia="Times New Roman" w:hAnsi="Times New Roman"/>
          <w:sz w:val="18"/>
          <w:szCs w:val="18"/>
          <w:i w:val="1"/>
          <w:iCs w:val="1"/>
          <w:color w:val="auto"/>
        </w:rPr>
        <w:t>Intangible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The ASU requires entities to begin capitalizing software costs when management authorizes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commits to funding the software project, and it is probable that the project will be completed and the software will be used for its intended purpose. The amendments in this ASU are effective for fiscal years beginning after December 15, 2027. Early adoption is permitted. We are currently evaluating the future effect the adoption of this ASU will have on our consolidated financial statements and related disclosures.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1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We disaggregate revenue from contracts with customers by markets and geography, as we believe it best depicts how the nature, amount, timing and uncertainty of revenue and cash flows are affected by economic factors.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9" w:name="page10"/>
    <w:bookmarkEnd w:id="9"/>
    <w:p>
      <w:pPr>
        <w:ind w:left="320"/>
        <w:spacing w:after="0"/>
        <w:rPr>
          <w:sz w:val="20"/>
          <w:szCs w:val="20"/>
          <w:color w:val="auto"/>
        </w:rPr>
      </w:pPr>
      <w:r>
        <w:rPr>
          <w:rFonts w:ascii="Times New Roman" w:cs="Times New Roman" w:eastAsia="Times New Roman" w:hAnsi="Times New Roman"/>
          <w:sz w:val="18"/>
          <w:szCs w:val="18"/>
          <w:color w:val="auto"/>
        </w:rPr>
        <w:t>The following tables present our revenue disaggregated by markets and geography (in thousands):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6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80" w:type="dxa"/>
            <w:vAlign w:val="bottom"/>
            <w:tcBorders>
              <w:bottom w:val="single" w:sz="8" w:color="auto"/>
            </w:tcBorders>
          </w:tcPr>
          <w:p>
            <w:pPr>
              <w:spacing w:after="0"/>
              <w:rPr>
                <w:sz w:val="18"/>
                <w:szCs w:val="18"/>
                <w:color w:val="auto"/>
              </w:rPr>
            </w:pPr>
          </w:p>
        </w:tc>
      </w:tr>
      <w:tr>
        <w:trPr>
          <w:trHeight w:val="206"/>
        </w:trPr>
        <w:tc>
          <w:tcPr>
            <w:tcW w:w="8600" w:type="dxa"/>
            <w:vAlign w:val="bottom"/>
          </w:tcPr>
          <w:p>
            <w:pPr>
              <w:spacing w:after="0"/>
              <w:rPr>
                <w:sz w:val="17"/>
                <w:szCs w:val="17"/>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January 2, 2026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January 3, 2025</w:t>
            </w:r>
          </w:p>
        </w:tc>
      </w:tr>
      <w:tr>
        <w:trPr>
          <w:trHeight w:val="192"/>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 by Market:</w:t>
            </w: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r>
      <w:tr>
        <w:trPr>
          <w:trHeight w:val="215"/>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Industrial &amp; Defense</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117,713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97,400</w:t>
            </w:r>
          </w:p>
        </w:tc>
      </w:tr>
      <w:tr>
        <w:trPr>
          <w:trHeight w:val="210"/>
        </w:trPr>
        <w:tc>
          <w:tcPr>
            <w:tcW w:w="8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Data Center</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85,754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65,284</w:t>
            </w:r>
          </w:p>
        </w:tc>
      </w:tr>
      <w:tr>
        <w:trPr>
          <w:trHeight w:val="212"/>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Telecom</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68,145</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55,438</w:t>
            </w:r>
          </w:p>
        </w:tc>
      </w:tr>
      <w:tr>
        <w:trPr>
          <w:trHeight w:val="208"/>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271,612</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218,122</w:t>
            </w:r>
          </w:p>
        </w:tc>
      </w:tr>
      <w:tr>
        <w:trPr>
          <w:trHeight w:val="20"/>
        </w:trPr>
        <w:tc>
          <w:tcPr>
            <w:tcW w:w="8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6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80" w:type="dxa"/>
            <w:vAlign w:val="bottom"/>
            <w:tcBorders>
              <w:bottom w:val="single" w:sz="8" w:color="auto"/>
            </w:tcBorders>
          </w:tcPr>
          <w:p>
            <w:pPr>
              <w:spacing w:after="0"/>
              <w:rPr>
                <w:sz w:val="18"/>
                <w:szCs w:val="18"/>
                <w:color w:val="auto"/>
              </w:rPr>
            </w:pPr>
          </w:p>
        </w:tc>
      </w:tr>
      <w:tr>
        <w:trPr>
          <w:trHeight w:val="206"/>
        </w:trPr>
        <w:tc>
          <w:tcPr>
            <w:tcW w:w="8600" w:type="dxa"/>
            <w:vAlign w:val="bottom"/>
          </w:tcPr>
          <w:p>
            <w:pPr>
              <w:spacing w:after="0"/>
              <w:rPr>
                <w:sz w:val="17"/>
                <w:szCs w:val="17"/>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January 2, 2026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January 3, 2025</w:t>
            </w:r>
          </w:p>
        </w:tc>
      </w:tr>
      <w:tr>
        <w:trPr>
          <w:trHeight w:val="195"/>
        </w:trPr>
        <w:tc>
          <w:tcPr>
            <w:tcW w:w="8600" w:type="dxa"/>
            <w:vAlign w:val="bottom"/>
          </w:tcPr>
          <w:p>
            <w:pPr>
              <w:ind w:left="20"/>
              <w:spacing w:after="0" w:line="195" w:lineRule="exact"/>
              <w:rPr>
                <w:sz w:val="20"/>
                <w:szCs w:val="20"/>
                <w:color w:val="auto"/>
              </w:rPr>
            </w:pPr>
            <w:r>
              <w:rPr>
                <w:rFonts w:ascii="Times New Roman" w:cs="Times New Roman" w:eastAsia="Times New Roman" w:hAnsi="Times New Roman"/>
                <w:sz w:val="16"/>
                <w:szCs w:val="16"/>
                <w:b w:val="1"/>
                <w:bCs w:val="1"/>
                <w:color w:val="auto"/>
              </w:rPr>
              <w:t>Revenue by Geographic Region</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6"/>
                <w:szCs w:val="16"/>
                <w:b w:val="1"/>
                <w:bCs w:val="1"/>
                <w:color w:val="auto"/>
              </w:rPr>
              <w:t>:</w:t>
            </w: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r>
      <w:tr>
        <w:trPr>
          <w:trHeight w:val="212"/>
        </w:trPr>
        <w:tc>
          <w:tcPr>
            <w:tcW w:w="860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shd w:val="clear" w:color="auto" w:fill="CCED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123,836</w:t>
            </w:r>
          </w:p>
        </w:tc>
        <w:tc>
          <w:tcPr>
            <w:tcW w:w="100" w:type="dxa"/>
            <w:vAlign w:val="bottom"/>
            <w:shd w:val="clear" w:color="auto" w:fill="CCEDFF"/>
          </w:tcPr>
          <w:p>
            <w:pPr>
              <w:spacing w:after="0"/>
              <w:rPr>
                <w:sz w:val="18"/>
                <w:szCs w:val="18"/>
                <w:color w:val="auto"/>
              </w:rPr>
            </w:pPr>
          </w:p>
        </w:tc>
        <w:tc>
          <w:tcPr>
            <w:tcW w:w="680" w:type="dxa"/>
            <w:vAlign w:val="bottom"/>
            <w:shd w:val="clear" w:color="auto" w:fill="CCEDFF"/>
          </w:tcPr>
          <w:p>
            <w:pPr>
              <w:jc w:val="right"/>
              <w:ind w:right="50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97,272</w:t>
            </w:r>
          </w:p>
        </w:tc>
      </w:tr>
      <w:tr>
        <w:trPr>
          <w:trHeight w:val="210"/>
        </w:trPr>
        <w:tc>
          <w:tcPr>
            <w:tcW w:w="8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China</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85,223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62,728</w:t>
            </w:r>
          </w:p>
        </w:tc>
      </w:tr>
      <w:tr>
        <w:trPr>
          <w:trHeight w:val="215"/>
        </w:trPr>
        <w:tc>
          <w:tcPr>
            <w:tcW w:w="860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6"/>
                <w:szCs w:val="16"/>
                <w:color w:val="auto"/>
              </w:rPr>
              <w:t>Asia Pacific, excluding China</w:t>
            </w:r>
          </w:p>
        </w:tc>
        <w:tc>
          <w:tcPr>
            <w:tcW w:w="340" w:type="dxa"/>
            <w:vAlign w:val="bottom"/>
            <w:shd w:val="clear" w:color="auto" w:fill="CCEDFF"/>
          </w:tcPr>
          <w:p>
            <w:pPr>
              <w:spacing w:after="0"/>
              <w:rPr>
                <w:sz w:val="18"/>
                <w:szCs w:val="18"/>
                <w:color w:val="auto"/>
              </w:rPr>
            </w:pPr>
          </w:p>
        </w:tc>
        <w:tc>
          <w:tcPr>
            <w:tcW w:w="9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30,552</w:t>
            </w:r>
          </w:p>
        </w:tc>
        <w:tc>
          <w:tcPr>
            <w:tcW w:w="100" w:type="dxa"/>
            <w:vAlign w:val="bottom"/>
            <w:shd w:val="clear" w:color="auto" w:fill="CCEDFF"/>
          </w:tcPr>
          <w:p>
            <w:pPr>
              <w:spacing w:after="0"/>
              <w:rPr>
                <w:sz w:val="18"/>
                <w:szCs w:val="18"/>
                <w:color w:val="auto"/>
              </w:rPr>
            </w:pPr>
          </w:p>
        </w:tc>
        <w:tc>
          <w:tcPr>
            <w:tcW w:w="680" w:type="dxa"/>
            <w:vAlign w:val="bottom"/>
            <w:shd w:val="clear" w:color="auto" w:fill="CCEDFF"/>
          </w:tcPr>
          <w:p>
            <w:pPr>
              <w:spacing w:after="0"/>
              <w:rPr>
                <w:sz w:val="18"/>
                <w:szCs w:val="18"/>
                <w:color w:val="auto"/>
              </w:rPr>
            </w:pPr>
          </w:p>
        </w:tc>
        <w:tc>
          <w:tcPr>
            <w:tcW w:w="5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20,538</w:t>
            </w:r>
          </w:p>
        </w:tc>
      </w:tr>
      <w:tr>
        <w:trPr>
          <w:trHeight w:val="212"/>
        </w:trPr>
        <w:tc>
          <w:tcPr>
            <w:tcW w:w="8600" w:type="dxa"/>
            <w:vAlign w:val="bottom"/>
            <w:tcBorders>
              <w:bottom w:val="single" w:sz="8" w:color="CCEEFF"/>
            </w:tcBorders>
          </w:tcPr>
          <w:p>
            <w:pPr>
              <w:ind w:left="180"/>
              <w:spacing w:after="0" w:line="212" w:lineRule="exact"/>
              <w:rPr>
                <w:sz w:val="20"/>
                <w:szCs w:val="20"/>
                <w:color w:val="auto"/>
              </w:rPr>
            </w:pPr>
            <w:r>
              <w:rPr>
                <w:rFonts w:ascii="Times New Roman" w:cs="Times New Roman" w:eastAsia="Times New Roman" w:hAnsi="Times New Roman"/>
                <w:sz w:val="16"/>
                <w:szCs w:val="16"/>
                <w:color w:val="auto"/>
              </w:rPr>
              <w:t xml:space="preserve">Other Countries </w:t>
            </w:r>
            <w:r>
              <w:rPr>
                <w:rFonts w:ascii="Times New Roman" w:cs="Times New Roman" w:eastAsia="Times New Roman" w:hAnsi="Times New Roman"/>
                <w:sz w:val="20"/>
                <w:szCs w:val="20"/>
                <w:color w:val="auto"/>
                <w:vertAlign w:val="superscript"/>
              </w:rPr>
              <w:t>(2)</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32,001</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37,584</w:t>
            </w:r>
          </w:p>
        </w:tc>
      </w:tr>
      <w:tr>
        <w:trPr>
          <w:trHeight w:val="231"/>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271,612</w:t>
            </w: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218,122</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560" w:hanging="315"/>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geographic region is aggregated by customer billing address.</w:t>
      </w:r>
    </w:p>
    <w:p>
      <w:pPr>
        <w:spacing w:after="0" w:line="24" w:lineRule="exact"/>
        <w:rPr>
          <w:rFonts w:ascii="Times New Roman" w:cs="Times New Roman" w:eastAsia="Times New Roman" w:hAnsi="Times New Roman"/>
          <w:sz w:val="18"/>
          <w:szCs w:val="18"/>
          <w:color w:val="auto"/>
        </w:rPr>
      </w:pPr>
    </w:p>
    <w:p>
      <w:pPr>
        <w:ind w:left="560" w:hanging="315"/>
        <w:spacing w:after="0" w:line="252" w:lineRule="auto"/>
        <w:tabs>
          <w:tab w:leader="none" w:pos="5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country or region represented greater than 10% of our total revenue as of the dates presented, other than the United States, China and Asia Pacific region as presented above.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14"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We record contract assets or contract liabilities depending on the timing of revenue recognition, billings and cash collections on a contract-by-contract basis. Our contract liabilities primarily relate to deferred revenue, including advanced consideration received from customers for contracts prior to the transfer of control to the customer, and, therefore, revenue is subsequently recognized upon delivery of products and services.</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changes in contract liabilities during the three months ended January 2, 2026 (in thousands, except percentage):</w:t>
      </w:r>
    </w:p>
    <w:p>
      <w:pPr>
        <w:spacing w:after="0" w:line="48"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4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January 2, 2026</w:t>
            </w:r>
          </w:p>
        </w:tc>
        <w:tc>
          <w:tcPr>
            <w:tcW w:w="32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October 3, 2025</w:t>
            </w:r>
          </w:p>
        </w:tc>
        <w:tc>
          <w:tcPr>
            <w:tcW w:w="26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4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8"/>
        </w:trPr>
        <w:tc>
          <w:tcPr>
            <w:tcW w:w="4500" w:type="dxa"/>
            <w:vAlign w:val="bottom"/>
            <w:tcBorders>
              <w:top w:val="single" w:sz="8" w:color="CCEDFF"/>
            </w:tcBorders>
            <w:shd w:val="clear" w:color="auto" w:fill="CCEDFF"/>
          </w:tcPr>
          <w:p>
            <w:pPr>
              <w:ind w:left="60"/>
              <w:spacing w:after="0"/>
              <w:rPr>
                <w:sz w:val="20"/>
                <w:szCs w:val="20"/>
                <w:color w:val="auto"/>
              </w:rPr>
            </w:pPr>
            <w:r>
              <w:rPr>
                <w:rFonts w:ascii="Times New Roman" w:cs="Times New Roman" w:eastAsia="Times New Roman" w:hAnsi="Times New Roman"/>
                <w:sz w:val="16"/>
                <w:szCs w:val="16"/>
                <w:color w:val="auto"/>
              </w:rPr>
              <w:t>Contract liabilities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6,534</w:t>
            </w:r>
          </w:p>
        </w:tc>
        <w:tc>
          <w:tcPr>
            <w:tcW w:w="320" w:type="dxa"/>
            <w:vAlign w:val="bottom"/>
            <w:tcBorders>
              <w:top w:val="single" w:sz="8" w:color="auto"/>
            </w:tcBorders>
            <w:shd w:val="clear" w:color="auto" w:fill="CCED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7,676</w:t>
            </w:r>
          </w:p>
        </w:tc>
        <w:tc>
          <w:tcPr>
            <w:tcW w:w="100" w:type="dxa"/>
            <w:vAlign w:val="bottom"/>
            <w:tcBorders>
              <w:top w:val="single" w:sz="8" w:color="CCEDFF"/>
            </w:tcBorders>
            <w:shd w:val="clear" w:color="auto" w:fill="CCEDFF"/>
          </w:tcPr>
          <w:p>
            <w:pPr>
              <w:spacing w:after="0"/>
              <w:rPr>
                <w:sz w:val="18"/>
                <w:szCs w:val="18"/>
                <w:color w:val="auto"/>
              </w:rPr>
            </w:pPr>
          </w:p>
        </w:tc>
        <w:tc>
          <w:tcPr>
            <w:tcW w:w="260" w:type="dxa"/>
            <w:vAlign w:val="bottom"/>
            <w:tcBorders>
              <w:top w:val="single" w:sz="8" w:color="auto"/>
            </w:tcBorders>
            <w:shd w:val="clear" w:color="auto" w:fill="CCED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20" w:type="dxa"/>
            <w:vAlign w:val="bottom"/>
            <w:tcBorders>
              <w:top w:val="single" w:sz="8" w:color="CCEDFF"/>
            </w:tcBorders>
            <w:shd w:val="clear" w:color="auto" w:fill="CCEDFF"/>
          </w:tcPr>
          <w:p>
            <w:pPr>
              <w:spacing w:after="0"/>
              <w:rPr>
                <w:sz w:val="18"/>
                <w:szCs w:val="18"/>
                <w:color w:val="auto"/>
              </w:rPr>
            </w:pPr>
          </w:p>
        </w:tc>
        <w:tc>
          <w:tcPr>
            <w:tcW w:w="15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6"/>
                <w:szCs w:val="16"/>
                <w:color w:val="auto"/>
              </w:rPr>
              <w:t>(14.9)%</w:t>
            </w:r>
          </w:p>
        </w:tc>
      </w:tr>
    </w:tbl>
    <w:p>
      <w:pPr>
        <w:spacing w:after="0" w:line="181"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During the three months ended January 2, 2026 and January 3, 2025, we recognized sales of $3.3 million and $0.9 million, respectively, that were included in the contract liabilities balance as of the beginning of the period. The decrease in contract liabilities during the three months ended January 2, 2026 was primarily related to recognition of revenue that was previously deferred for products and services invoiced prior to when certain of our customers obtained control of such products and/or services, partially offset by deferral of revenue for additional invoicing prior to when our customers obtain control of such products and/or services.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112"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b w:val="1"/>
          <w:bCs w:val="1"/>
          <w:color w:val="auto"/>
        </w:rPr>
        <w:t>ENGIN-IC, Inc.—</w:t>
      </w:r>
      <w:r>
        <w:rPr>
          <w:rFonts w:ascii="Times New Roman" w:cs="Times New Roman" w:eastAsia="Times New Roman" w:hAnsi="Times New Roman"/>
          <w:sz w:val="18"/>
          <w:szCs w:val="18"/>
          <w:color w:val="auto"/>
        </w:rPr>
        <w:t>On November 5, 2024, we completed the acquisition of ENGIN-IC, Inc. (“ENGIN-IC”), a fabless semiconductor company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designs advanced gallium arsenide (“GaAs”) and gallium nitride (“GaN”) monolithic microwave integrated circuits (“MMICs”) and integrated microwave assemblies located in Plano, Texas and San Diego, California (the “ENGIN-IC Acquisition”). We acquired ENGIN-IC to further expand and strengthen our MMIC and module design capabilities. In connection with the ENGIN-IC Acquisition, we acquired all of the outstanding shares of ENGIN-IC for a total purchase price of approximately $14.4 million with cash consideration of $12.7 million, net of cash acquired of $0.2 million, and deferred consideration payable of $1.5 million related to customary agreement provisions not associated with future performance of the acquired business. We paid $0.7 million of the deferred consideration during the three months ended January 2, 2026 and the remainder is expected to be paid during our third fiscal quarter of 2026. The ENGIN-IC Acquisition was accounted for as a business combination and the operations of ENGIN-IC have been included in our consolidated financial statements since the date of acquisition. We finalized the ENGIN-IC Acquisition purchase accounting during the fiscal quarter ended January 2, 2026 and adjustments were immaterial. We recorded the final allocation of the purchase price for ENGIN-IC, which primarily resulted in intangible assets, including acquired technology and customer relationships, of $9.7 million and goodwill of $5.1 million.</w:t>
      </w:r>
    </w:p>
    <w:p>
      <w:pPr>
        <w:spacing w:after="0" w:line="83"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Consolidated estimated pro forma unaudited revenue and consolidated estimated pro forma net loss during the three months ended January 3, 2025 and the actual results of operations for ENGIN-IC since the acquisition date are not material to our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193"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All investments are short-term in nature and are invested in corporate bonds, commercial paper, U.S. Treasuries and agency bonds, and are classified as available-for-sale. The Company classifies investments with maturity dates greater than twelve months in short-term investments rather than long-term investments based on the nature of the securities and the availability for use in current operations. The Company believes this method is preferable because it is more reflective of the Company’s assessment of its overall liquidity position. These investments are owned directly by the Company and are segregated in brokerage custody accounts. The amortized cost, gross unrealized holding gains or losses and fair value of our available-for-sale investments by major investment type are summarized in the tables below (in thousands):</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January 2, 2026</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0"/>
                <w:szCs w:val="10"/>
                <w:color w:val="auto"/>
              </w:rPr>
            </w:pPr>
          </w:p>
        </w:tc>
        <w:tc>
          <w:tcPr>
            <w:tcW w:w="1160" w:type="dxa"/>
            <w:vAlign w:val="bottom"/>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Aggregate Fair</w:t>
            </w: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Holding Gains</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Holding Losses</w:t>
            </w:r>
          </w:p>
        </w:tc>
        <w:tc>
          <w:tcPr>
            <w:tcW w:w="140" w:type="dxa"/>
            <w:vAlign w:val="bottom"/>
          </w:tcPr>
          <w:p>
            <w:pPr>
              <w:spacing w:after="0"/>
              <w:rPr>
                <w:sz w:val="16"/>
                <w:szCs w:val="16"/>
                <w:color w:val="auto"/>
              </w:rPr>
            </w:pPr>
          </w:p>
        </w:tc>
        <w:tc>
          <w:tcPr>
            <w:tcW w:w="116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2"/>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555,434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558,482</w:t>
            </w:r>
          </w:p>
        </w:tc>
        <w:tc>
          <w:tcPr>
            <w:tcW w:w="0" w:type="dxa"/>
            <w:vAlign w:val="bottom"/>
          </w:tcPr>
          <w:p>
            <w:pPr>
              <w:spacing w:after="0"/>
              <w:rPr>
                <w:sz w:val="1"/>
                <w:szCs w:val="1"/>
                <w:color w:val="auto"/>
              </w:rPr>
            </w:pPr>
          </w:p>
        </w:tc>
      </w:tr>
      <w:tr>
        <w:trPr>
          <w:trHeight w:val="210"/>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paper</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29,905</w:t>
            </w: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Treasuries and agency bonds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60,353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60,461</w:t>
            </w:r>
          </w:p>
        </w:tc>
        <w:tc>
          <w:tcPr>
            <w:tcW w:w="0" w:type="dxa"/>
            <w:vAlign w:val="bottom"/>
          </w:tcPr>
          <w:p>
            <w:pPr>
              <w:spacing w:after="0"/>
              <w:rPr>
                <w:sz w:val="1"/>
                <w:szCs w:val="1"/>
                <w:color w:val="auto"/>
              </w:rPr>
            </w:pPr>
          </w:p>
        </w:tc>
      </w:tr>
      <w:tr>
        <w:trPr>
          <w:trHeight w:val="208"/>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short-term investments</w:t>
            </w: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645,687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648,848</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0"/>
                <w:szCs w:val="10"/>
                <w:color w:val="auto"/>
              </w:rPr>
            </w:pPr>
          </w:p>
        </w:tc>
        <w:tc>
          <w:tcPr>
            <w:tcW w:w="1160" w:type="dxa"/>
            <w:vAlign w:val="bottom"/>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Aggregate Fair</w:t>
            </w: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Holding Gains</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Holding Losses</w:t>
            </w:r>
          </w:p>
        </w:tc>
        <w:tc>
          <w:tcPr>
            <w:tcW w:w="140" w:type="dxa"/>
            <w:vAlign w:val="bottom"/>
          </w:tcPr>
          <w:p>
            <w:pPr>
              <w:spacing w:after="0"/>
              <w:rPr>
                <w:sz w:val="16"/>
                <w:szCs w:val="16"/>
                <w:color w:val="auto"/>
              </w:rPr>
            </w:pPr>
          </w:p>
        </w:tc>
        <w:tc>
          <w:tcPr>
            <w:tcW w:w="116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2"/>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554,433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557,579</w:t>
            </w:r>
          </w:p>
        </w:tc>
        <w:tc>
          <w:tcPr>
            <w:tcW w:w="0" w:type="dxa"/>
            <w:vAlign w:val="bottom"/>
          </w:tcPr>
          <w:p>
            <w:pPr>
              <w:spacing w:after="0"/>
              <w:rPr>
                <w:sz w:val="1"/>
                <w:szCs w:val="1"/>
                <w:color w:val="auto"/>
              </w:rPr>
            </w:pPr>
          </w:p>
        </w:tc>
      </w:tr>
      <w:tr>
        <w:trPr>
          <w:trHeight w:val="210"/>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paper</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49,516</w:t>
            </w: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Treasuries and agency bonds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66,594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66,738</w:t>
            </w:r>
          </w:p>
        </w:tc>
        <w:tc>
          <w:tcPr>
            <w:tcW w:w="0" w:type="dxa"/>
            <w:vAlign w:val="bottom"/>
          </w:tcPr>
          <w:p>
            <w:pPr>
              <w:spacing w:after="0"/>
              <w:rPr>
                <w:sz w:val="1"/>
                <w:szCs w:val="1"/>
                <w:color w:val="auto"/>
              </w:rPr>
            </w:pPr>
          </w:p>
        </w:tc>
      </w:tr>
      <w:tr>
        <w:trPr>
          <w:trHeight w:val="208"/>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short-term investments</w:t>
            </w: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670,537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673,833</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contractual maturities of available-for-sale investments were as follows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160" w:type="dxa"/>
            <w:vAlign w:val="bottom"/>
          </w:tcPr>
          <w:p>
            <w:pPr>
              <w:spacing w:after="0"/>
              <w:rPr>
                <w:sz w:val="13"/>
                <w:szCs w:val="13"/>
                <w:color w:val="auto"/>
              </w:rPr>
            </w:pPr>
          </w:p>
        </w:tc>
        <w:tc>
          <w:tcPr>
            <w:tcW w:w="1160" w:type="dxa"/>
            <w:vAlign w:val="bottom"/>
            <w:vMerge w:val="restart"/>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0" w:type="dxa"/>
            <w:vAlign w:val="bottom"/>
          </w:tcPr>
          <w:p>
            <w:pPr>
              <w:spacing w:after="0"/>
              <w:rPr>
                <w:sz w:val="1"/>
                <w:szCs w:val="1"/>
                <w:color w:val="auto"/>
              </w:rPr>
            </w:pPr>
          </w:p>
        </w:tc>
      </w:tr>
      <w:tr>
        <w:trPr>
          <w:trHeight w:val="193"/>
        </w:trPr>
        <w:tc>
          <w:tcPr>
            <w:tcW w:w="85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one year</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211,245</w:t>
            </w:r>
          </w:p>
        </w:tc>
        <w:tc>
          <w:tcPr>
            <w:tcW w:w="0" w:type="dxa"/>
            <w:vAlign w:val="bottom"/>
          </w:tcPr>
          <w:p>
            <w:pPr>
              <w:spacing w:after="0"/>
              <w:rPr>
                <w:sz w:val="1"/>
                <w:szCs w:val="1"/>
                <w:color w:val="auto"/>
              </w:rPr>
            </w:pPr>
          </w:p>
        </w:tc>
      </w:tr>
      <w:tr>
        <w:trPr>
          <w:trHeight w:val="210"/>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Over one year</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466,621</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462,588</w:t>
            </w:r>
          </w:p>
        </w:tc>
        <w:tc>
          <w:tcPr>
            <w:tcW w:w="0" w:type="dxa"/>
            <w:vAlign w:val="bottom"/>
          </w:tcPr>
          <w:p>
            <w:pPr>
              <w:spacing w:after="0"/>
              <w:rPr>
                <w:sz w:val="1"/>
                <w:szCs w:val="1"/>
                <w:color w:val="auto"/>
              </w:rPr>
            </w:pPr>
          </w:p>
        </w:tc>
      </w:tr>
      <w:tr>
        <w:trPr>
          <w:trHeight w:val="23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available-for-sale investments</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648,848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673,833</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We have determined that the gross unrealized losses on available for sale securities as of January 2, 2026 and October 3, 2025 are temporary in nature and/or do not relate to credit loss, and therefore, there is no expense for credit losses recorded in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1" w:name="page12"/>
    <w:bookmarkEnd w:id="11"/>
    <w:p>
      <w:pPr>
        <w:spacing w:after="0" w:line="275" w:lineRule="auto"/>
        <w:rPr>
          <w:sz w:val="20"/>
          <w:szCs w:val="20"/>
          <w:color w:val="auto"/>
        </w:rPr>
      </w:pPr>
      <w:r>
        <w:rPr>
          <w:rFonts w:ascii="Times New Roman" w:cs="Times New Roman" w:eastAsia="Times New Roman" w:hAnsi="Times New Roman"/>
          <w:sz w:val="18"/>
          <w:szCs w:val="18"/>
          <w:color w:val="auto"/>
        </w:rPr>
        <w:t>our condensed consolidated statements of operations. Unrealized gains and losses on available-for-sale investments are reported as a separate component of stockholders’ equity within 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AND FINANCIAL INSTRUMENTS</w:t>
      </w:r>
    </w:p>
    <w:p>
      <w:pPr>
        <w:spacing w:after="0" w:line="193" w:lineRule="exact"/>
        <w:rPr>
          <w:sz w:val="20"/>
          <w:szCs w:val="20"/>
          <w:color w:val="auto"/>
        </w:rPr>
      </w:pPr>
    </w:p>
    <w:p>
      <w:pPr>
        <w:ind w:firstLine="319"/>
        <w:spacing w:after="0" w:line="267" w:lineRule="auto"/>
        <w:rPr>
          <w:sz w:val="20"/>
          <w:szCs w:val="20"/>
          <w:color w:val="auto"/>
        </w:rPr>
      </w:pPr>
      <w:r>
        <w:rPr>
          <w:rFonts w:ascii="Times New Roman" w:cs="Times New Roman" w:eastAsia="Times New Roman" w:hAnsi="Times New Roman"/>
          <w:sz w:val="18"/>
          <w:szCs w:val="18"/>
          <w:color w:val="auto"/>
        </w:rPr>
        <w:t>We group our financial assets and liabilities measured at fair value on a recurring basis in three levels, based on the markets in which the assets and liabilities are traded, and the reliability of the assumptions used to determine fair value. These levels are:</w:t>
      </w: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1 </w:t>
      </w:r>
      <w:r>
        <w:rPr>
          <w:rFonts w:ascii="Times New Roman" w:cs="Times New Roman" w:eastAsia="Times New Roman" w:hAnsi="Times New Roman"/>
          <w:sz w:val="18"/>
          <w:szCs w:val="18"/>
          <w:i w:val="1"/>
          <w:iCs w:val="1"/>
          <w:color w:val="auto"/>
        </w:rPr>
        <w:t>- Quoted prices in active markets for identical assets or liabilities.</w:t>
      </w:r>
    </w:p>
    <w:p>
      <w:pPr>
        <w:spacing w:after="0" w:line="29" w:lineRule="exact"/>
        <w:rPr>
          <w:sz w:val="20"/>
          <w:szCs w:val="20"/>
          <w:color w:val="auto"/>
        </w:rPr>
      </w:pPr>
    </w:p>
    <w:p>
      <w:pPr>
        <w:ind w:left="620" w:right="640"/>
        <w:spacing w:after="0" w:line="220"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2 </w:t>
      </w:r>
      <w:r>
        <w:rPr>
          <w:rFonts w:ascii="Times New Roman" w:cs="Times New Roman" w:eastAsia="Times New Roman" w:hAnsi="Times New Roman"/>
          <w:sz w:val="18"/>
          <w:szCs w:val="18"/>
          <w:i w:val="1"/>
          <w:iCs w:val="1"/>
          <w:color w:val="auto"/>
        </w:rPr>
        <w:t>- Observable inputs other than Level 1 prices, such as quoted prices for similar assets or liabilities, quoted prices in markets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insufficient volume or infrequent transactions (less active markets), or model-driven valuations in which all significant inputs are observable or can be derived principally from, or corroborated with, observable market data.</w:t>
      </w:r>
    </w:p>
    <w:p>
      <w:pPr>
        <w:spacing w:after="0" w:line="5" w:lineRule="exact"/>
        <w:rPr>
          <w:sz w:val="20"/>
          <w:szCs w:val="20"/>
          <w:color w:val="auto"/>
        </w:rPr>
      </w:pPr>
    </w:p>
    <w:p>
      <w:pPr>
        <w:ind w:left="620" w:right="820"/>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3 </w:t>
      </w:r>
      <w:r>
        <w:rPr>
          <w:rFonts w:ascii="Times New Roman" w:cs="Times New Roman" w:eastAsia="Times New Roman" w:hAnsi="Times New Roman"/>
          <w:sz w:val="18"/>
          <w:szCs w:val="18"/>
          <w:i w:val="1"/>
          <w:iCs w:val="1"/>
          <w:color w:val="auto"/>
        </w:rPr>
        <w:t>- Fair value is derived from valuation techniques in which one or more significant inputs are unobservable, including assumptions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and judgments made by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and Recorded at Fair Value on a Recurring Basis</w:t>
      </w:r>
    </w:p>
    <w:p>
      <w:pPr>
        <w:spacing w:after="0" w:line="11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We measure certain assets and liabilities at fair value on a recurring basis such as our financial instruments. There have been no transfers between Level 1, 2 or 3 assets or liabilities during the three months ended January 2, 2026.</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consist of the following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January 2, 2026</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Identical Assets (Level</w:t>
            </w: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80" w:type="dxa"/>
            <w:vAlign w:val="bottom"/>
          </w:tcPr>
          <w:p>
            <w:pPr>
              <w:spacing w:after="0"/>
              <w:rPr>
                <w:sz w:val="16"/>
                <w:szCs w:val="16"/>
                <w:color w:val="auto"/>
              </w:rPr>
            </w:pPr>
          </w:p>
        </w:tc>
        <w:tc>
          <w:tcPr>
            <w:tcW w:w="116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8"/>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56,398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Treasuries and agency bonds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60,461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558,482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558,482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measured at fair value</w:t>
            </w: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705,246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91,888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613,358</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Identical Assets (Level</w:t>
            </w: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85"/>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80" w:type="dxa"/>
            <w:vAlign w:val="bottom"/>
          </w:tcPr>
          <w:p>
            <w:pPr>
              <w:spacing w:after="0"/>
              <w:rPr>
                <w:sz w:val="16"/>
                <w:szCs w:val="16"/>
                <w:color w:val="auto"/>
              </w:rPr>
            </w:pPr>
          </w:p>
        </w:tc>
        <w:tc>
          <w:tcPr>
            <w:tcW w:w="116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8"/>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63,811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63,811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Treasuries and agency bonds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66,738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24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557,579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557,579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49,516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measured at fair value</w:t>
            </w: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737,644</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109,184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628,460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14"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 xml:space="preserve">We have foreign currency exposure arising from certain of our Euro and Yen denominated intercompany debt. We have entered into foreign currency exchange hedging contracts associated with this intercompany debt to partially mitigate the impact of currency rate changes. They are not designated as cash flow or fair value hedges under Accounting Standards Codification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Changes in fair value are reported in current period earnings. These gains and losses are intended to offset the gains and losses recorded on the associated intercompany debt. We do not use derivative financial instruments for trading or speculation purposes.</w:t>
      </w:r>
    </w:p>
    <w:p>
      <w:pPr>
        <w:spacing w:after="0" w:line="78"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As of January 2, 2026 and October 3, 2025, we had $47.0 million and $36.0 million, respectively, in notional forward foreign currency contracts. As of January 2, 2026 and October 3, 2025, the fair value of derivative instruments not designated as hedges was immaterial.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260" w:type="dxa"/>
            <w:vAlign w:val="bottom"/>
          </w:tcPr>
          <w:p>
            <w:pPr>
              <w:spacing w:after="0"/>
              <w:rPr>
                <w:sz w:val="13"/>
                <w:szCs w:val="13"/>
                <w:color w:val="auto"/>
              </w:rPr>
            </w:pPr>
          </w:p>
        </w:tc>
        <w:tc>
          <w:tcPr>
            <w:tcW w:w="118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October 3,</w:t>
            </w:r>
          </w:p>
        </w:tc>
      </w:tr>
      <w:tr>
        <w:trPr>
          <w:trHeight w:val="193"/>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153,196</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32,973</w:t>
            </w:r>
          </w:p>
        </w:tc>
      </w:tr>
      <w:tr>
        <w:trPr>
          <w:trHeight w:val="21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50,094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51,675</w:t>
            </w:r>
          </w:p>
        </w:tc>
      </w:tr>
      <w:tr>
        <w:trPr>
          <w:trHeight w:val="204"/>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inventory, net</w:t>
            </w: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238,905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237,844</w:t>
            </w:r>
          </w:p>
        </w:tc>
      </w:tr>
      <w:tr>
        <w:trPr>
          <w:trHeight w:val="22"/>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260" w:type="dxa"/>
            <w:vAlign w:val="bottom"/>
          </w:tcPr>
          <w:p>
            <w:pPr>
              <w:spacing w:after="0"/>
              <w:rPr>
                <w:sz w:val="13"/>
                <w:szCs w:val="13"/>
                <w:color w:val="auto"/>
              </w:rPr>
            </w:pPr>
          </w:p>
        </w:tc>
        <w:tc>
          <w:tcPr>
            <w:tcW w:w="11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October 3,</w:t>
            </w:r>
          </w:p>
        </w:tc>
      </w:tr>
      <w:tr>
        <w:trPr>
          <w:trHeight w:val="192"/>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30,932</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equipment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19,670</w:t>
            </w:r>
          </w:p>
        </w:tc>
      </w:tr>
      <w:tr>
        <w:trPr>
          <w:trHeight w:val="21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process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27,460</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assets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38,966</w:t>
            </w:r>
          </w:p>
        </w:tc>
      </w:tr>
      <w:tr>
        <w:trPr>
          <w:trHeight w:val="21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4,295</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24,871</w:t>
            </w:r>
          </w:p>
        </w:tc>
      </w:tr>
      <w:tr>
        <w:trPr>
          <w:trHeight w:val="21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38,359</w:t>
            </w:r>
          </w:p>
        </w:tc>
      </w:tr>
      <w:tr>
        <w:trPr>
          <w:trHeight w:val="21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324,765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318,650</w:t>
            </w:r>
          </w:p>
        </w:tc>
      </w:tr>
      <w:tr>
        <w:trPr>
          <w:trHeight w:val="208"/>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516,355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503,203</w:t>
            </w:r>
          </w:p>
        </w:tc>
      </w:tr>
      <w:tr>
        <w:trPr>
          <w:trHeight w:val="21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(281,650)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(272,912)</w:t>
            </w:r>
          </w:p>
        </w:tc>
      </w:tr>
      <w:tr>
        <w:trPr>
          <w:trHeight w:val="231"/>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234,705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230,291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In August 2022, the U.S. government enacted the CHIPS and Science Act of 2022 (“CHIPS Act”), which provides funding for manufacturing grants and research investments and established a 25% investment tax credit (“ITC”) for certain qualifying investments in U.S. semiconductor manufacturing equipment. On July 4, 2025 the U.S. Congress passed a federal statute controlling tax and spending policies (the “July 4, 2025 Bill”). As part of the July 4, 2025 Bill, this ITC was increased to 35% for assets placed into service after December 31, 2025. We account for the investment tax credit as a reduction to the carrying value of the qualifying asset and record a corresponding receivable for expected tax credits in connection with the CHIPS Act. As of January 2, 2026 and October 3, 2025, there was a $6.3 million and $5.6 million reduction, respectively, to the gross carrying amounts of the qualifying assets in the condensed consolidated balance sheet.</w:t>
      </w:r>
    </w:p>
    <w:p>
      <w:pPr>
        <w:spacing w:after="0" w:line="78"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for the three months ended January 2, 2026 and January 3, 2025 was $9.2 million and $7.3 million, respectively. Accumulated amortization on finance lease assets as of January 2, 2026 and October 3, 2025 was $10.7 million and $10.3 million, respectively.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Amortization expense related to intangible assets is as follows (in thousands):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jc w:val="right"/>
              <w:ind w:right="76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4"/>
        </w:trPr>
        <w:tc>
          <w:tcPr>
            <w:tcW w:w="8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26"/>
        </w:trPr>
        <w:tc>
          <w:tcPr>
            <w:tcW w:w="8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2"/>
          </w:tcPr>
          <w:p>
            <w:pPr>
              <w:ind w:left="140"/>
              <w:spacing w:after="0" w:line="126"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40" w:type="dxa"/>
            <w:vAlign w:val="bottom"/>
          </w:tcPr>
          <w:p>
            <w:pPr>
              <w:spacing w:after="0"/>
              <w:rPr>
                <w:sz w:val="10"/>
                <w:szCs w:val="10"/>
                <w:color w:val="auto"/>
              </w:rPr>
            </w:pPr>
          </w:p>
        </w:tc>
        <w:tc>
          <w:tcPr>
            <w:tcW w:w="1180" w:type="dxa"/>
            <w:vAlign w:val="bottom"/>
          </w:tcPr>
          <w:p>
            <w:pPr>
              <w:jc w:val="right"/>
              <w:ind w:right="303"/>
              <w:spacing w:after="0" w:line="126" w:lineRule="exact"/>
              <w:rPr>
                <w:sz w:val="20"/>
                <w:szCs w:val="20"/>
                <w:color w:val="auto"/>
              </w:rPr>
            </w:pPr>
            <w:r>
              <w:rPr>
                <w:rFonts w:ascii="Times New Roman" w:cs="Times New Roman" w:eastAsia="Times New Roman" w:hAnsi="Times New Roman"/>
                <w:sz w:val="14"/>
                <w:szCs w:val="14"/>
                <w:b w:val="1"/>
                <w:bCs w:val="1"/>
                <w:color w:val="auto"/>
              </w:rPr>
              <w:t>January 3,</w:t>
            </w:r>
          </w:p>
        </w:tc>
      </w:tr>
      <w:tr>
        <w:trPr>
          <w:trHeight w:val="193"/>
        </w:trPr>
        <w:tc>
          <w:tcPr>
            <w:tcW w:w="8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3,332</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w:t>
            </w:r>
          </w:p>
        </w:tc>
      </w:tr>
      <w:tr>
        <w:trPr>
          <w:trHeight w:val="208"/>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8,657</w:t>
            </w: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activity in gross intangible assets as of January 2, 2026 and October 3, 2025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3" w:name="page14"/>
    <w:bookmarkEnd w:id="13"/>
    <w:tbl>
      <w:tblPr>
        <w:tblLayout w:type="fixed"/>
        <w:tblInd w:w="2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January 2, 2026</w:t>
            </w: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0" w:type="dxa"/>
            <w:vAlign w:val="bottom"/>
          </w:tcPr>
          <w:p>
            <w:pPr>
              <w:spacing w:after="0"/>
              <w:rPr>
                <w:sz w:val="1"/>
                <w:szCs w:val="1"/>
                <w:color w:val="auto"/>
              </w:rPr>
            </w:pPr>
          </w:p>
        </w:tc>
      </w:tr>
      <w:tr>
        <w:trPr>
          <w:trHeight w:val="192"/>
        </w:trPr>
        <w:tc>
          <w:tcPr>
            <w:tcW w:w="6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technology</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34,998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(16,482)</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18,516</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(43,090)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31,483</w:t>
            </w:r>
          </w:p>
        </w:tc>
        <w:tc>
          <w:tcPr>
            <w:tcW w:w="0" w:type="dxa"/>
            <w:vAlign w:val="bottom"/>
          </w:tcPr>
          <w:p>
            <w:pPr>
              <w:spacing w:after="0"/>
              <w:rPr>
                <w:sz w:val="1"/>
                <w:szCs w:val="1"/>
                <w:color w:val="auto"/>
              </w:rPr>
            </w:pPr>
          </w:p>
        </w:tc>
      </w:tr>
      <w:tr>
        <w:trPr>
          <w:trHeight w:val="21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licenses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18,368</w:t>
            </w:r>
          </w:p>
        </w:tc>
        <w:tc>
          <w:tcPr>
            <w:tcW w:w="0" w:type="dxa"/>
            <w:vAlign w:val="bottom"/>
          </w:tcPr>
          <w:p>
            <w:pPr>
              <w:spacing w:after="0"/>
              <w:rPr>
                <w:sz w:val="1"/>
                <w:szCs w:val="1"/>
                <w:color w:val="auto"/>
              </w:rPr>
            </w:pPr>
          </w:p>
        </w:tc>
      </w:tr>
      <w:tr>
        <w:trPr>
          <w:trHeight w:val="212"/>
        </w:trPr>
        <w:tc>
          <w:tcPr>
            <w:tcW w:w="6700" w:type="dxa"/>
            <w:vAlign w:val="bottom"/>
            <w:tcBorders>
              <w:bottom w:val="single" w:sz="8" w:color="CCEEFF"/>
            </w:tcBorders>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Trade name </w:t>
            </w:r>
            <w:r>
              <w:rPr>
                <w:rFonts w:ascii="Times New Roman" w:cs="Times New Roman" w:eastAsia="Times New Roman" w:hAnsi="Times New Roman"/>
                <w:sz w:val="20"/>
                <w:szCs w:val="20"/>
                <w:color w:val="auto"/>
                <w:vertAlign w:val="superscript"/>
              </w:rPr>
              <w:t>(1)</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4,461</w:t>
            </w:r>
          </w:p>
        </w:tc>
        <w:tc>
          <w:tcPr>
            <w:tcW w:w="0" w:type="dxa"/>
            <w:vAlign w:val="bottom"/>
          </w:tcPr>
          <w:p>
            <w:pPr>
              <w:spacing w:after="0"/>
              <w:rPr>
                <w:sz w:val="1"/>
                <w:szCs w:val="1"/>
                <w:color w:val="auto"/>
              </w:rPr>
            </w:pPr>
          </w:p>
        </w:tc>
      </w:tr>
      <w:tr>
        <w:trPr>
          <w:trHeight w:val="231"/>
        </w:trPr>
        <w:tc>
          <w:tcPr>
            <w:tcW w:w="6700" w:type="dxa"/>
            <w:vAlign w:val="bottom"/>
            <w:tcBorders>
              <w:bottom w:val="single" w:sz="8" w:color="CCEEFF"/>
            </w:tcBorders>
            <w:shd w:val="clear" w:color="auto" w:fill="CCEEFF"/>
          </w:tcPr>
          <w:p>
            <w:pPr>
              <w:ind w:left="20"/>
              <w:spacing w:after="0" w:line="206" w:lineRule="exact"/>
              <w:rPr>
                <w:sz w:val="20"/>
                <w:szCs w:val="20"/>
                <w:color w:val="auto"/>
              </w:rPr>
            </w:pPr>
            <w:r>
              <w:rPr>
                <w:rFonts w:ascii="Times New Roman" w:cs="Times New Roman" w:eastAsia="Times New Roman" w:hAnsi="Times New Roman"/>
                <w:sz w:val="16"/>
                <w:szCs w:val="16"/>
                <w:color w:val="auto"/>
              </w:rPr>
              <w:t xml:space="preserve">Balance as of January 2, 2026 </w:t>
            </w:r>
            <w:r>
              <w:rPr>
                <w:rFonts w:ascii="Times New Roman" w:cs="Times New Roman" w:eastAsia="Times New Roman" w:hAnsi="Times New Roman"/>
                <w:sz w:val="20"/>
                <w:szCs w:val="20"/>
                <w:color w:val="auto"/>
                <w:vertAlign w:val="superscript"/>
              </w:rPr>
              <w:t>(2)</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141,425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(68,597)</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72,828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6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7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0" w:type="dxa"/>
            <w:vAlign w:val="bottom"/>
          </w:tcPr>
          <w:p>
            <w:pPr>
              <w:spacing w:after="0"/>
              <w:rPr>
                <w:sz w:val="1"/>
                <w:szCs w:val="1"/>
                <w:color w:val="auto"/>
              </w:rPr>
            </w:pPr>
          </w:p>
        </w:tc>
      </w:tr>
      <w:tr>
        <w:trPr>
          <w:trHeight w:val="192"/>
        </w:trPr>
        <w:tc>
          <w:tcPr>
            <w:tcW w:w="6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technology</w:t>
            </w:r>
          </w:p>
        </w:tc>
        <w:tc>
          <w:tcPr>
            <w:tcW w:w="2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34,994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(14,859)</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20,135</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(41,304)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33,268</w:t>
            </w:r>
          </w:p>
        </w:tc>
        <w:tc>
          <w:tcPr>
            <w:tcW w:w="0" w:type="dxa"/>
            <w:vAlign w:val="bottom"/>
          </w:tcPr>
          <w:p>
            <w:pPr>
              <w:spacing w:after="0"/>
              <w:rPr>
                <w:sz w:val="1"/>
                <w:szCs w:val="1"/>
                <w:color w:val="auto"/>
              </w:rPr>
            </w:pPr>
          </w:p>
        </w:tc>
      </w:tr>
      <w:tr>
        <w:trPr>
          <w:trHeight w:val="21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licenses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20,642</w:t>
            </w:r>
          </w:p>
        </w:tc>
        <w:tc>
          <w:tcPr>
            <w:tcW w:w="0" w:type="dxa"/>
            <w:vAlign w:val="bottom"/>
          </w:tcPr>
          <w:p>
            <w:pPr>
              <w:spacing w:after="0"/>
              <w:rPr>
                <w:sz w:val="1"/>
                <w:szCs w:val="1"/>
                <w:color w:val="auto"/>
              </w:rPr>
            </w:pPr>
          </w:p>
        </w:tc>
      </w:tr>
      <w:tr>
        <w:trPr>
          <w:trHeight w:val="212"/>
        </w:trPr>
        <w:tc>
          <w:tcPr>
            <w:tcW w:w="6700" w:type="dxa"/>
            <w:vAlign w:val="bottom"/>
            <w:tcBorders>
              <w:bottom w:val="single" w:sz="8" w:color="CCEEFF"/>
            </w:tcBorders>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Trade name </w:t>
            </w:r>
            <w:r>
              <w:rPr>
                <w:rFonts w:ascii="Times New Roman" w:cs="Times New Roman" w:eastAsia="Times New Roman" w:hAnsi="Times New Roman"/>
                <w:sz w:val="20"/>
                <w:szCs w:val="20"/>
                <w:color w:val="auto"/>
                <w:vertAlign w:val="superscript"/>
              </w:rPr>
              <w:t>(1)</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4,525</w:t>
            </w:r>
          </w:p>
        </w:tc>
        <w:tc>
          <w:tcPr>
            <w:tcW w:w="0" w:type="dxa"/>
            <w:vAlign w:val="bottom"/>
          </w:tcPr>
          <w:p>
            <w:pPr>
              <w:spacing w:after="0"/>
              <w:rPr>
                <w:sz w:val="1"/>
                <w:szCs w:val="1"/>
                <w:color w:val="auto"/>
              </w:rPr>
            </w:pPr>
          </w:p>
        </w:tc>
      </w:tr>
      <w:tr>
        <w:trPr>
          <w:trHeight w:val="231"/>
        </w:trPr>
        <w:tc>
          <w:tcPr>
            <w:tcW w:w="6700" w:type="dxa"/>
            <w:vAlign w:val="bottom"/>
            <w:tcBorders>
              <w:bottom w:val="single" w:sz="8" w:color="CCEEFF"/>
            </w:tcBorders>
            <w:shd w:val="clear" w:color="auto" w:fill="CCEEFF"/>
          </w:tcPr>
          <w:p>
            <w:pPr>
              <w:ind w:left="20"/>
              <w:spacing w:after="0" w:line="206" w:lineRule="exact"/>
              <w:rPr>
                <w:sz w:val="20"/>
                <w:szCs w:val="20"/>
                <w:color w:val="auto"/>
              </w:rPr>
            </w:pPr>
            <w:r>
              <w:rPr>
                <w:rFonts w:ascii="Times New Roman" w:cs="Times New Roman" w:eastAsia="Times New Roman" w:hAnsi="Times New Roman"/>
                <w:sz w:val="16"/>
                <w:szCs w:val="16"/>
                <w:color w:val="auto"/>
              </w:rPr>
              <w:t xml:space="preserve">Balance as of October 3, 2025 </w:t>
            </w:r>
            <w:r>
              <w:rPr>
                <w:rFonts w:ascii="Times New Roman" w:cs="Times New Roman" w:eastAsia="Times New Roman" w:hAnsi="Times New Roman"/>
                <w:sz w:val="20"/>
                <w:szCs w:val="20"/>
                <w:color w:val="auto"/>
                <w:vertAlign w:val="superscript"/>
              </w:rPr>
              <w:t>(2)</w:t>
            </w:r>
          </w:p>
        </w:tc>
        <w:tc>
          <w:tcPr>
            <w:tcW w:w="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140,952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(62,382)</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78,570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ind w:left="240" w:hanging="234"/>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 indefinite-lived trade name of $3.4 million that is not amortized.</w:t>
      </w:r>
    </w:p>
    <w:p>
      <w:pPr>
        <w:spacing w:after="0" w:line="24" w:lineRule="exact"/>
        <w:rPr>
          <w:rFonts w:ascii="Times New Roman" w:cs="Times New Roman" w:eastAsia="Times New Roman" w:hAnsi="Times New Roman"/>
          <w:sz w:val="16"/>
          <w:szCs w:val="16"/>
          <w:color w:val="auto"/>
        </w:rPr>
      </w:pPr>
    </w:p>
    <w:p>
      <w:pPr>
        <w:ind w:left="240" w:hanging="234"/>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intangible asset carrying amounts include foreign currency translation adjustments.</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January 2, 2026, our estimated amortization of our intangible assets in future fiscal years is as follows (in thousands):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2026 Remaining</w:t>
            </w:r>
          </w:p>
        </w:tc>
        <w:tc>
          <w:tcPr>
            <w:tcW w:w="1020" w:type="dxa"/>
            <w:vAlign w:val="bottom"/>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20" w:type="dxa"/>
            <w:vAlign w:val="bottom"/>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40" w:type="dxa"/>
            <w:vAlign w:val="bottom"/>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2029</w:t>
            </w:r>
          </w:p>
        </w:tc>
        <w:tc>
          <w:tcPr>
            <w:tcW w:w="960" w:type="dxa"/>
            <w:vAlign w:val="bottom"/>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2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80" w:type="dxa"/>
            <w:vAlign w:val="bottom"/>
          </w:tcPr>
          <w:p>
            <w:pPr>
              <w:spacing w:after="0"/>
              <w:rPr>
                <w:sz w:val="16"/>
                <w:szCs w:val="16"/>
                <w:color w:val="auto"/>
              </w:rPr>
            </w:pPr>
          </w:p>
        </w:tc>
        <w:tc>
          <w:tcPr>
            <w:tcW w:w="84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18,349</w:t>
            </w:r>
          </w:p>
        </w:tc>
        <w:tc>
          <w:tcPr>
            <w:tcW w:w="102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21,489</w:t>
            </w:r>
          </w:p>
        </w:tc>
        <w:tc>
          <w:tcPr>
            <w:tcW w:w="102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9,479</w:t>
            </w:r>
          </w:p>
        </w:tc>
        <w:tc>
          <w:tcPr>
            <w:tcW w:w="104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5,817</w:t>
            </w:r>
          </w:p>
        </w:tc>
        <w:tc>
          <w:tcPr>
            <w:tcW w:w="96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5,091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9,203</w:t>
            </w:r>
          </w:p>
        </w:tc>
        <w:tc>
          <w:tcPr>
            <w:tcW w:w="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69,428</w:t>
            </w:r>
          </w:p>
        </w:tc>
      </w:tr>
    </w:tbl>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changes in goodwill as of January 2, 2026 is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Goodwill</w:t>
            </w:r>
          </w:p>
        </w:tc>
      </w:tr>
      <w:tr>
        <w:trPr>
          <w:trHeight w:val="24"/>
        </w:trPr>
        <w:tc>
          <w:tcPr>
            <w:tcW w:w="9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6"/>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 2025</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336,315</w:t>
            </w:r>
          </w:p>
        </w:tc>
      </w:tr>
      <w:tr>
        <w:trPr>
          <w:trHeight w:val="212"/>
        </w:trPr>
        <w:tc>
          <w:tcPr>
            <w:tcW w:w="9660" w:type="dxa"/>
            <w:vAlign w:val="bottom"/>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Acquired </w:t>
            </w:r>
            <w:r>
              <w:rPr>
                <w:rFonts w:ascii="Times New Roman" w:cs="Times New Roman" w:eastAsia="Times New Roman" w:hAnsi="Times New Roman"/>
                <w:sz w:val="20"/>
                <w:szCs w:val="20"/>
                <w:color w:val="auto"/>
                <w:vertAlign w:val="superscript"/>
              </w:rPr>
              <w:t>(1)</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r>
      <w:tr>
        <w:trPr>
          <w:trHeight w:val="208"/>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January 2, 2026</w:t>
            </w: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335,710</w:t>
            </w:r>
          </w:p>
        </w:tc>
      </w:tr>
      <w:tr>
        <w:trPr>
          <w:trHeight w:val="20"/>
        </w:trPr>
        <w:tc>
          <w:tcPr>
            <w:tcW w:w="9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firstLine="6"/>
        <w:spacing w:after="0" w:line="277" w:lineRule="auto"/>
        <w:tabs>
          <w:tab w:leader="none" w:pos="23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The acquired balance consists of a decrease of less than $0.1 million related to the ENGIN-IC Acquisition. For additional information refer to </w:t>
      </w:r>
      <w:r>
        <w:rPr>
          <w:rFonts w:ascii="Times New Roman" w:cs="Times New Roman" w:eastAsia="Times New Roman" w:hAnsi="Times New Roman"/>
          <w:sz w:val="18"/>
          <w:szCs w:val="18"/>
          <w:i w:val="1"/>
          <w:iCs w:val="1"/>
          <w:color w:val="auto"/>
        </w:rPr>
        <w:t>Note 3 -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LIABILITIES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 2026</w:t>
            </w:r>
          </w:p>
        </w:tc>
        <w:tc>
          <w:tcPr>
            <w:tcW w:w="160" w:type="dxa"/>
            <w:vAlign w:val="bottom"/>
          </w:tcPr>
          <w:p>
            <w:pPr>
              <w:spacing w:after="0"/>
              <w:rPr>
                <w:sz w:val="16"/>
                <w:szCs w:val="16"/>
                <w:color w:val="auto"/>
              </w:rPr>
            </w:pP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October 3, 2025</w:t>
            </w:r>
          </w:p>
        </w:tc>
      </w:tr>
      <w:tr>
        <w:trPr>
          <w:trHeight w:val="24"/>
        </w:trPr>
        <w:tc>
          <w:tcPr>
            <w:tcW w:w="8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48,236</w:t>
            </w: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operating leases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w:t>
            </w:r>
          </w:p>
        </w:tc>
      </w:tr>
      <w:tr>
        <w:trPr>
          <w:trHeight w:val="215"/>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7,676</w:t>
            </w: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licenses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9,889</w:t>
            </w:r>
          </w:p>
        </w:tc>
      </w:tr>
      <w:tr>
        <w:trPr>
          <w:trHeight w:val="212"/>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23,874</w:t>
            </w:r>
          </w:p>
        </w:tc>
      </w:tr>
      <w:tr>
        <w:trPr>
          <w:trHeight w:val="208"/>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79,571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95,959</w:t>
            </w:r>
          </w:p>
        </w:tc>
      </w:tr>
      <w:tr>
        <w:trPr>
          <w:trHeight w:val="20"/>
        </w:trPr>
        <w:tc>
          <w:tcPr>
            <w:tcW w:w="8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114"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The following represents the outstanding balances and effective interest rates of our borrowings as of January 2, 2026 and October 3, 2025, (in thousands, except percentages):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January 2, 2026</w:t>
            </w:r>
          </w:p>
        </w:tc>
        <w:tc>
          <w:tcPr>
            <w:tcW w:w="100" w:type="dxa"/>
            <w:vAlign w:val="bottom"/>
          </w:tcPr>
          <w:p>
            <w:pPr>
              <w:spacing w:after="0"/>
              <w:rPr>
                <w:sz w:val="16"/>
                <w:szCs w:val="16"/>
                <w:color w:val="auto"/>
              </w:rPr>
            </w:pPr>
          </w:p>
        </w:tc>
        <w:tc>
          <w:tcPr>
            <w:tcW w:w="27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October 3, 2025</w:t>
            </w:r>
          </w:p>
        </w:tc>
      </w:tr>
      <w:tr>
        <w:trPr>
          <w:trHeight w:val="24"/>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6"/>
        </w:trPr>
        <w:tc>
          <w:tcPr>
            <w:tcW w:w="55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Effective Interest Rate</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Effective Interest Rate</w:t>
            </w:r>
          </w:p>
        </w:tc>
      </w:tr>
      <w:tr>
        <w:trPr>
          <w:trHeight w:val="21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0.25% convertible notes due March 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160,665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161,151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0.54 %</w:t>
            </w:r>
          </w:p>
        </w:tc>
      </w:tr>
      <w:tr>
        <w:trPr>
          <w:trHeight w:val="226"/>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0.00% convertible notes due December 2029</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344,316</w:t>
            </w: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0.33 %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344,316</w:t>
            </w: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0.33 %</w:t>
            </w:r>
          </w:p>
        </w:tc>
      </w:tr>
      <w:tr>
        <w:trPr>
          <w:trHeight w:val="206"/>
        </w:trPr>
        <w:tc>
          <w:tcPr>
            <w:tcW w:w="5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principal amount outstanding</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504,981</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505,467</w:t>
            </w:r>
          </w:p>
        </w:tc>
        <w:tc>
          <w:tcPr>
            <w:tcW w:w="1480" w:type="dxa"/>
            <w:vAlign w:val="bottom"/>
            <w:shd w:val="clear" w:color="auto" w:fill="CCEEFF"/>
          </w:tcPr>
          <w:p>
            <w:pPr>
              <w:spacing w:after="0"/>
              <w:rPr>
                <w:sz w:val="17"/>
                <w:szCs w:val="17"/>
                <w:color w:val="auto"/>
              </w:rPr>
            </w:pPr>
          </w:p>
        </w:tc>
      </w:tr>
      <w:tr>
        <w:trPr>
          <w:trHeight w:val="210"/>
        </w:trPr>
        <w:tc>
          <w:tcPr>
            <w:tcW w:w="5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Less: Short-term debt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160,563</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160,946</w:t>
            </w:r>
          </w:p>
        </w:tc>
        <w:tc>
          <w:tcPr>
            <w:tcW w:w="1480" w:type="dxa"/>
            <w:vAlign w:val="bottom"/>
          </w:tcPr>
          <w:p>
            <w:pPr>
              <w:spacing w:after="0"/>
              <w:rPr>
                <w:sz w:val="18"/>
                <w:szCs w:val="18"/>
                <w:color w:val="auto"/>
              </w:rPr>
            </w:pPr>
          </w:p>
        </w:tc>
      </w:tr>
      <w:tr>
        <w:trPr>
          <w:trHeight w:val="212"/>
        </w:trPr>
        <w:tc>
          <w:tcPr>
            <w:tcW w:w="5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Unamortized discount on deferred financing costs</w:t>
            </w: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(4,510)</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(4,891)</w:t>
            </w:r>
          </w:p>
        </w:tc>
        <w:tc>
          <w:tcPr>
            <w:tcW w:w="1480" w:type="dxa"/>
            <w:vAlign w:val="bottom"/>
            <w:shd w:val="clear" w:color="auto" w:fill="CCEEFF"/>
          </w:tcPr>
          <w:p>
            <w:pPr>
              <w:spacing w:after="0"/>
              <w:rPr>
                <w:sz w:val="18"/>
                <w:szCs w:val="18"/>
                <w:color w:val="auto"/>
              </w:rPr>
            </w:pPr>
          </w:p>
        </w:tc>
      </w:tr>
      <w:tr>
        <w:trPr>
          <w:trHeight w:val="208"/>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339,908</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339,630</w:t>
            </w:r>
          </w:p>
        </w:tc>
        <w:tc>
          <w:tcPr>
            <w:tcW w:w="148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2026 Convertible Notes</w:t>
      </w:r>
    </w:p>
    <w:p>
      <w:pPr>
        <w:spacing w:after="0" w:line="116"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On March 25, 2021, we issued 0.25% convertible senior notes due in fiscal year 2026, pursuant to an indenture dated as of such date (the “2021 Indenture”), between the Company and U.S. Bank National Association, as trustee, with an aggregate principal amount of $400.0 million (the “Initial Notes”), and on April 6, 2021, we issued an additional $50.0 million aggregate principal amount (the “Additional Notes”) (together, the “2026 Convertible Notes”). The Additional Notes were issued and sold to the initial purchaser of the Initial Notes, pursuant to the option to purchase the Additional Notes granted by the Company to the initial purchaser and have the same terms as the Initial Notes.</w:t>
      </w:r>
    </w:p>
    <w:p>
      <w:pPr>
        <w:spacing w:after="0" w:line="78"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On December 12, 2024, we entered into separate, privately negotiated exchange and subscription agreements (the “Exchange and Subscription Agreements”) with a limited number of holders of the 2026 Convertible Notes. Under the terms of the Exchange and Subscription Agreements, the holders exchanged $288.8 million in aggregate principal amount of 2026 Convertible Notes held by them for $257.7 million of our 2029 Convertible Notes (defined below), 1,582,958 newly-issued shares of the Company’s common stock, par value $0.001 per share, issued at a fair value of $205.9 million, and $17.6 million in cash. These exchanges resulted in aggregate pre-tax debt extinguishment charges of $193.1 million. The Company also issued approximately $86.6 million in additional aggregate principal amount of the 2029 Convertible Notes in a private placement to certain investors (the “Subscription” and, together with the Exchange, the “Transactions”). The Transactions closed on December 19, 2024.</w:t>
      </w:r>
    </w:p>
    <w:p>
      <w:pPr>
        <w:spacing w:after="0" w:line="78"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Following the closing of the Transactions, the aggregate principal balance of the 2026 Convertible Notes is $161.2 million and the terms of the 2021 Indenture are unchanged. The 2026 Convertible Notes will mature on March 15, 2026 unless earlier converted, redeemed or repurchased.</w:t>
      </w:r>
    </w:p>
    <w:p>
      <w:pPr>
        <w:spacing w:after="0" w:line="57"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Holders of the 2026 Convertible Notes may convert their notes at their option at any time prior to the close of business on the business day immediately preceding December 15, 2025 in multiples of $1,000 principal amount, only under the following circumstances: (i) during any fiscal quarter commencing after the fiscal quarter ending on July 2, 2021 (and only during such fiscal quarter), if the last reported sale price of our common stock for at least 20 trading days (whether or not consecutive) during a period of 30 consecutive trading days ending on the last trading day of the immediately preceding fiscal quarter is greater than or equal to 130% of the conversion price for the notes on each applicable trading day; (ii) during the five business day period after any five consecutive trading day period (the “Measurement Period”) in which the “trading price” (as defined in the 2021 Indenture) per $1,000 principal amount of the notes for each trading day of the Measurement Period was less than 98% of the product of the last reported sale price of our common stock and the conversion rate for the notes on each such trading day; (iii) if we call such notes for redemption, at any time prior to the close of business on the second scheduled trading day immediately preceding the applicable redemption date; or (iv) upon the occurrence of specified corporate events described in the 2021 Indenture. On or after December 15, 2025 until the close of business on the second scheduled trading day immediately preceding the maturity date, holders may convert their notes in multiples of $1,000 principal amount, regardless of the foregoing circumstances.</w:t>
      </w:r>
    </w:p>
    <w:p>
      <w:pPr>
        <w:spacing w:after="0" w:line="81"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initial conversion rate for the 2026 Convertible Notes is 12.1767 shares of common stock per $1,000 principal amount of the notes, equivalent to an initial conversion price of approximately $82.12 per share of common stock. The conversion rate will be subject to adjustment upon the occurrence of certain specified events in the 2021 Indenture.</w:t>
      </w:r>
    </w:p>
    <w:p>
      <w:pPr>
        <w:spacing w:after="0" w:line="71"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In November 2021, we made an irrevocable election to pay cash for the aggregate principal amount of notes to be converted. Upon conversion of the 2026 Convertible Notes, we are required to pay cash up to the aggregate principal amount of the notes to be converted and pay or deliver, as the case may be, cash, shares of our common stock or a combination of cash and shares of our common stock, at our election, in respect of the remainder, if any, of our conversion obligation in excess of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5" w:name="page16"/>
    <w:bookmarkEnd w:id="15"/>
    <w:p>
      <w:pPr>
        <w:jc w:val="both"/>
        <w:spacing w:after="0" w:line="260" w:lineRule="auto"/>
        <w:rPr>
          <w:sz w:val="20"/>
          <w:szCs w:val="20"/>
          <w:color w:val="auto"/>
        </w:rPr>
      </w:pPr>
      <w:r>
        <w:rPr>
          <w:rFonts w:ascii="Times New Roman" w:cs="Times New Roman" w:eastAsia="Times New Roman" w:hAnsi="Times New Roman"/>
          <w:sz w:val="18"/>
          <w:szCs w:val="18"/>
          <w:color w:val="auto"/>
        </w:rPr>
        <w:t>aggregate principal amount of the notes being converted (subject to, and in accordance with, the settlement provisions of the 2021 Indenture). Effective December 15, 2025, we elected to settle our conversion obligation in excess of principal in shares of our common stock, for all conversions occurring on or after that date.</w:t>
      </w:r>
    </w:p>
    <w:p>
      <w:pPr>
        <w:spacing w:after="0" w:line="71"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may redeem for cash all or any portion of the notes, at our option, on or after March 20, 2024 and prior to December 15, 2025, if the last reported sale price per share of our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at a redemption price equal to 100% of the principal amount of the notes to be redeemed, plus accrued and unpaid interest, to, but not including, the redemption date.</w:t>
      </w:r>
    </w:p>
    <w:p>
      <w:pPr>
        <w:spacing w:after="0" w:line="78"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2021 Indenture does not contain any financial or operating covenants or restrictions on the payments of dividends, the making of investments, the incurrence of indebtedness or the purchase or prepayment of securities by us or any of our subsidiaries.</w:t>
      </w:r>
    </w:p>
    <w:p>
      <w:pPr>
        <w:spacing w:after="0" w:line="5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For the three months ended January 2, 2026, total interest expense for the 2026 Convertible Notes was $0.2 million of which $0.1 million was for coupon interest. For the three months ended January 3, 2025, total interest expense was $0.6 million of which $0.3 million was for coupon interest.</w:t>
      </w:r>
    </w:p>
    <w:p>
      <w:pPr>
        <w:spacing w:after="0" w:line="5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fair value of our 2026 Convertible Notes was $334.2 million and $251.6 million as of January 2, 2026 and October 3, 2025, respectively, and was determined based on quoted prices in markets that are not active, which is considered a Level 2 valuation input.</w:t>
      </w:r>
    </w:p>
    <w:p>
      <w:pPr>
        <w:spacing w:after="0" w:line="5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In September 2025, certain holders exercised their right to convert $0.5 million of the notes. The transaction settled during the three months ended January 2, 2026 and we paid $0.5 million principal in cash and issued 2,610 shares of our common stock for the conversion premium.</w:t>
      </w:r>
    </w:p>
    <w:p>
      <w:pPr>
        <w:spacing w:after="0" w:line="5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full principal amount of the 2026 Convertible Notes of $160.7 million is due on March 15, 2026. The 2026 Convertible Notes balance of $160.6 million, net of deferred financing costs, is classified as short-term debt in our condensed consolidated balance sheet.</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2029 Convertible Notes</w:t>
      </w:r>
    </w:p>
    <w:p>
      <w:pPr>
        <w:spacing w:after="0" w:line="116"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On December 19, 2024, we issued 0.00% convertible senior notes due in fiscal year 2030, pursuant to an indenture dated as of such date (the “2024 Indenture”), between the Company and U.S. Bank National Association, as trustee with an aggregate principal amount of $344.3 million (the “2029 Convertible Notes”).</w:t>
      </w:r>
    </w:p>
    <w:p>
      <w:pPr>
        <w:spacing w:after="0" w:line="71"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Holders of the 2029 Convertible Notes may convert their notes at their option at any time prior to the close of business on the business day immediately preceding September 15, 2029 in multiples of $1,000 principal amount, only under the following circumstances: (i) during any fiscal quarter commencing after the fiscal quarter ending on April 4, 2025 (and only during such fiscal quarter), if the last reported sale price of our common stock for at least 20 trading days (whether or not consecutive) during a period of 30 consecutive trading days ending on the last trading day of the immediately preceding calendar quarter is greater than or equal to 130% of the conversion price for the notes on each applicable trading day; (ii) during the five business day period after any five consecutive trading day period (the “Measurement Period”) in which the “trading price” (as defined in the 2024 Indenture) per $1,000 principal amount of the notes for each trading day of the Measurement Period was less than 98% of the product of the last reported sale price of our common stock and the conversion rate for the notes on each such trading day; (iii) if we call such notes for redemption, at any time prior to the close of business on the second scheduled trading day immediately preceding the redemption date; or (iv) upon the occurrence of specified corporate events described in the 2024 Indenture. On or after September 15, 2029 until the close of business on the second scheduled trading day immediately preceding the maturity date, the holders may convert their notes, in multiples of $1,000 principal amount, regardless of the foregoing circumstances.</w:t>
      </w:r>
    </w:p>
    <w:p>
      <w:pPr>
        <w:spacing w:after="0" w:line="8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initial conversion rate for the Notes is 5.7463 shares of common stock (subject to adjustment as provided for in the 2024 Indenture) per $1,000 principal amount of the notes, which is equal to an initial conversion price of approximately $174.03 per share of common stock.</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6" w:name="page17"/>
    <w:bookmarkEnd w:id="16"/>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The 2029 Convertible Notes do not bear regular interest, and the principal amount of the notes does not accrete. The notes are senior unsecured obligations of the Company and will mature on December 15, 2029, unless earlier redeemed, repurchased or converted. Upon conversion of the 2029 Convertible Notes, we are required to pay cash up to the aggregate principal amount of the notes to be converted and pay or deliver, as the case may be, cash, shares of our common stock or a combination of cash and shares of our common stock, at our election, in respect of the remainder, if any, of our conversion obligation in excess of the aggregate principal amount of the notes being converted (subject to, and in accordance with, the settlement provisions of the 2024 Indenture). We must notify the holders of the 2029 Convertible Notes of our settlement method for our conversion obligation in excess of the aggregate principal amount no later than September 15, 2029, for conversions occurring on or after that date. We may redeem for cash all or any portion of the notes, at our option, on or after December 20, 2027 and prior to September 15, 2029 if the last reported sale price per share of our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at a redemption price equal to 100% of the principal amount of the notes to be redeemed, plus accrued and unpaid interest, to, but not including, the redemption date.</w:t>
      </w:r>
    </w:p>
    <w:p>
      <w:pPr>
        <w:spacing w:after="0" w:line="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2024 Indenture does not contain any financial or operating covenants or restrictions on the payments of dividends, the making of investments, the incurrence of indebtedness or the purchase or prepayment of securities by us or any of our subsidiaries.</w:t>
      </w:r>
    </w:p>
    <w:p>
      <w:pPr>
        <w:spacing w:after="0" w:line="5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For the three months ended January 2, 2026 and January 3, 2025, total interest expense for the 2029 convertible notes was $0.3 million and less than $0.1 million, respectively, which represents amortization of issuance costs.</w:t>
      </w:r>
    </w:p>
    <w:p>
      <w:pPr>
        <w:spacing w:after="0" w:line="5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fair value of our 2029 Convertible Notes was $424.5 million and $353.3 million as of January 2, 2026 and October 3, 2025, respectively. The fair value was determined based on quoted prices in markets that are not active, which is considered a Level 2 valuation input.</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full principal amount of the 2029 Convertible Notes of $344.3 million is due on December 15, 2029.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FINANCING OBLIGATIONS</w:t>
      </w:r>
    </w:p>
    <w:p>
      <w:pPr>
        <w:spacing w:after="0" w:line="114"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We are party to a power purchase agreement for the use of electric power and thermal energy producing systems at our fabrication facility in Lowell, Massachusetts. We do not own these systems; however, we control the use of the assets during operation. As of January 2, 2026 and October 3, 2025, the net book value of the systems in Property and equipment, net was $7.4 million and $7.5 million, respectively, and the corresponding liability was $8.9 million and $9.0 million, respectively, primarily classified in Financing obligation on our condensed consolidated balance sheet.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Sale-Leaseback</w:t>
      </w:r>
    </w:p>
    <w:p>
      <w:pPr>
        <w:spacing w:after="0" w:line="114"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Our lease for the wafer fabrication facility in Research Triangle Park (“RTP”), North Carolina (the “RTP Fab”) is considered a failed sale-leaseback for accounting purposes. Accordingly, we recognize this transaction as a financing arrangement. As of January 2, 2026 and October 3, 2025, the net book value of the land and building in Property and equipment, net was $28.5 million and $28.6 million, respectively, and the corresponding liability was $28.5 million and $28.5 million, respectively, primarily classified in Financing obligation on our condensed consolidated balance sheet.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computation for basic and diluted net income (loss) per share of common stock (in thousands, except per share data):</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4"/>
        </w:trPr>
        <w:tc>
          <w:tcPr>
            <w:tcW w:w="8900" w:type="dxa"/>
            <w:vAlign w:val="bottom"/>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r>
      <w:tr>
        <w:trPr>
          <w:trHeight w:val="186"/>
        </w:trPr>
        <w:tc>
          <w:tcPr>
            <w:tcW w:w="8900" w:type="dxa"/>
            <w:vAlign w:val="bottom"/>
          </w:tcPr>
          <w:p>
            <w:pPr>
              <w:spacing w:after="0"/>
              <w:rPr>
                <w:sz w:val="16"/>
                <w:szCs w:val="16"/>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January 2, 2026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 2025</w:t>
            </w:r>
          </w:p>
        </w:tc>
      </w:tr>
      <w:tr>
        <w:trPr>
          <w:trHeight w:val="199"/>
        </w:trPr>
        <w:tc>
          <w:tcPr>
            <w:tcW w:w="8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10"/>
        </w:trPr>
        <w:tc>
          <w:tcPr>
            <w:tcW w:w="8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48,767</w:t>
            </w:r>
          </w:p>
        </w:tc>
        <w:tc>
          <w:tcPr>
            <w:tcW w:w="100" w:type="dxa"/>
            <w:vAlign w:val="bottom"/>
          </w:tcPr>
          <w:p>
            <w:pPr>
              <w:spacing w:after="0"/>
              <w:rPr>
                <w:sz w:val="18"/>
                <w:szCs w:val="18"/>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(167,530)</w:t>
            </w:r>
          </w:p>
        </w:tc>
      </w:tr>
      <w:tr>
        <w:trPr>
          <w:trHeight w:val="21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0"/>
        </w:trPr>
        <w:tc>
          <w:tcPr>
            <w:tcW w:w="8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Weighted average common shares outstanding-basic</w:t>
            </w:r>
          </w:p>
        </w:tc>
        <w:tc>
          <w:tcPr>
            <w:tcW w:w="30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74,822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72,780</w:t>
            </w:r>
          </w:p>
        </w:tc>
      </w:tr>
      <w:tr>
        <w:trPr>
          <w:trHeight w:val="215"/>
        </w:trPr>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Dilutive effect of stock options, restricted stock and restricted stock units</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Dilutive effect of convertible debt</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956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Weighted average common shares outstanding-diluted</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76,718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72,780</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52"/>
        </w:trPr>
        <w:tc>
          <w:tcPr>
            <w:tcW w:w="8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12"/>
        </w:trPr>
        <w:tc>
          <w:tcPr>
            <w:tcW w:w="8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 (loss) to common stockholders per share-basic:</w:t>
            </w: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08"/>
        </w:trPr>
        <w:tc>
          <w:tcPr>
            <w:tcW w:w="8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 to common stockholders per share-diluted:</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Pr>
          <w:p>
            <w:pPr>
              <w:spacing w:after="0"/>
              <w:rPr>
                <w:sz w:val="18"/>
                <w:szCs w:val="18"/>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r>
    </w:tbl>
    <w:p>
      <w:pPr>
        <w:spacing w:after="0" w:line="318" w:lineRule="exact"/>
        <w:rPr>
          <w:sz w:val="20"/>
          <w:szCs w:val="20"/>
          <w:color w:val="auto"/>
        </w:rPr>
      </w:pPr>
    </w:p>
    <w:p>
      <w:pPr>
        <w:jc w:val="both"/>
        <w:ind w:left="40" w:right="40" w:firstLine="319"/>
        <w:spacing w:after="0" w:line="272" w:lineRule="auto"/>
        <w:rPr>
          <w:sz w:val="20"/>
          <w:szCs w:val="20"/>
          <w:color w:val="auto"/>
        </w:rPr>
      </w:pPr>
      <w:r>
        <w:rPr>
          <w:rFonts w:ascii="Times New Roman" w:cs="Times New Roman" w:eastAsia="Times New Roman" w:hAnsi="Times New Roman"/>
          <w:sz w:val="18"/>
          <w:szCs w:val="18"/>
          <w:color w:val="auto"/>
        </w:rPr>
        <w:t>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Anti-dilutive shares excluded related to:</w:t>
            </w:r>
          </w:p>
        </w:tc>
        <w:tc>
          <w:tcPr>
            <w:tcW w:w="3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0"/>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Outstanding stock options, restricted stock and restricted stock units</w:t>
            </w:r>
          </w:p>
        </w:tc>
        <w:tc>
          <w:tcPr>
            <w:tcW w:w="328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112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w:t>
            </w:r>
          </w:p>
        </w:tc>
      </w:tr>
      <w:tr>
        <w:trPr>
          <w:trHeight w:val="215"/>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Convertible debt</w:t>
            </w:r>
          </w:p>
        </w:tc>
        <w:tc>
          <w:tcPr>
            <w:tcW w:w="328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w:t>
            </w:r>
          </w:p>
        </w:tc>
      </w:tr>
    </w:tbl>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80"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From time to time, we may be subject to commercial disputes, employment issues, claims by other companies in the industry that we have infringed their intellectual property rights and other similar claims and litigation. Any such claims may lead to future litigation and material damages and defense costs. We were not involved in any material pending legal proceedings during the three months ended January 2, 2026.</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14. STOCKHOLDERS’ EQUITY AND SHARE-BASED COMPENSATION</w:t>
      </w:r>
    </w:p>
    <w:p>
      <w:pPr>
        <w:spacing w:after="0" w:line="193"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We have authorized 10 million shares of $0.001 par value preferred stock and 300 million shares of $0.001 par value common stock as of January 2, 2026.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Plans</w:t>
      </w:r>
    </w:p>
    <w:p>
      <w:pPr>
        <w:spacing w:after="0" w:line="114" w:lineRule="exact"/>
        <w:rPr>
          <w:sz w:val="20"/>
          <w:szCs w:val="20"/>
          <w:color w:val="auto"/>
        </w:rPr>
      </w:pPr>
    </w:p>
    <w:p>
      <w:pPr>
        <w:jc w:val="both"/>
        <w:ind w:firstLine="398"/>
        <w:spacing w:after="0" w:line="249" w:lineRule="auto"/>
        <w:rPr>
          <w:sz w:val="20"/>
          <w:szCs w:val="20"/>
          <w:color w:val="auto"/>
        </w:rPr>
      </w:pPr>
      <w:r>
        <w:rPr>
          <w:rFonts w:ascii="Times New Roman" w:cs="Times New Roman" w:eastAsia="Times New Roman" w:hAnsi="Times New Roman"/>
          <w:sz w:val="18"/>
          <w:szCs w:val="18"/>
          <w:color w:val="auto"/>
        </w:rPr>
        <w:t>As of January 2, 2026, we had approximately 2.5 million shares available for issuance under our 2021 Omnibus Incentive Plan (the “2021 Plan”) and approximately 1.0 million shares available for issuance under our 2021 Employee Stock Purchase Plan (the “Employee Stock Purchase Plan”). Under the 2021 Plan, we have the ability to issue incentive stock options (“ISOs”), non-statutory stock options (“NSOs”), stock appreciation rights (“SARs”), restricted stock awards (“RSAs”), unrestricted stock awards, stock units (including restricted stock units (“RSUs”) and performance-based restricted stock units (“PRSUs”), performance awards, cash awards, and other share-based awards to employees, directors, consultants and advisors. The ISOs and NSOs must be granted at an exercise price, and the SARs must be granted at a base value, per share of not less than 100% of the closing price of a share of our common stock on the date of grant (or, if no closing price is reported on that date, the closing price on the immediately preceding date on which a closing price was reported) (110% in the case of certain ISOs). Certain of the share-based awards granted and outstanding as of January 2, 2026 are subject to accelerated vesting upon a change in control of the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Stock Units</w:t>
      </w:r>
    </w:p>
    <w:p>
      <w:pPr>
        <w:spacing w:after="0" w:line="114"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Aside from the equity plans described above, we also grant incentive stock units (“ISUs”) to certain of our international employees which typically vest over three or four years and for which the fair value is determined by our underlying stock price, which are classified as liabilities and settled in cash upon vesting.</w:t>
      </w:r>
    </w:p>
    <w:p>
      <w:pPr>
        <w:spacing w:after="0" w:line="71" w:lineRule="exact"/>
        <w:rPr>
          <w:sz w:val="20"/>
          <w:szCs w:val="20"/>
          <w:color w:val="auto"/>
        </w:rPr>
      </w:pPr>
    </w:p>
    <w:p>
      <w:pPr>
        <w:jc w:val="both"/>
        <w:ind w:firstLine="319"/>
        <w:spacing w:after="0" w:line="283" w:lineRule="auto"/>
        <w:rPr>
          <w:sz w:val="20"/>
          <w:szCs w:val="20"/>
          <w:color w:val="auto"/>
        </w:rPr>
      </w:pPr>
      <w:r>
        <w:rPr>
          <w:rFonts w:ascii="Times New Roman" w:cs="Times New Roman" w:eastAsia="Times New Roman" w:hAnsi="Times New Roman"/>
          <w:sz w:val="17"/>
          <w:szCs w:val="17"/>
          <w:color w:val="auto"/>
        </w:rPr>
        <w:t>As of January 2, 2026 and October 3, 2025, the fair value of outstanding ISUs was $5.7 million and $5.1 million, respectively, and the associated accrued compensation liability was $2.3 million and $3.7 million, respectively. During the three months ended January 2, 2026 and January 3, 2025, we recorded an expense for ISU awards of $1.6 million and $1.5 million, respectively. These expenses are not included in the share-based compensation expense totals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14" w:lineRule="exact"/>
        <w:rPr>
          <w:sz w:val="20"/>
          <w:szCs w:val="20"/>
          <w:color w:val="auto"/>
        </w:rPr>
      </w:pPr>
    </w:p>
    <w:p>
      <w:pPr>
        <w:jc w:val="both"/>
        <w:ind w:right="20" w:firstLine="319"/>
        <w:spacing w:after="0" w:line="265" w:lineRule="auto"/>
        <w:rPr>
          <w:sz w:val="20"/>
          <w:szCs w:val="20"/>
          <w:color w:val="auto"/>
        </w:rPr>
      </w:pPr>
      <w:r>
        <w:rPr>
          <w:rFonts w:ascii="Times New Roman" w:cs="Times New Roman" w:eastAsia="Times New Roman" w:hAnsi="Times New Roman"/>
          <w:sz w:val="18"/>
          <w:szCs w:val="18"/>
          <w:color w:val="auto"/>
        </w:rPr>
        <w:t>The following table shows a summary of share-based compensation expense included in the condensed consolidated statements of operations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jc w:val="right"/>
              <w:ind w:right="76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4"/>
        </w:trPr>
        <w:tc>
          <w:tcPr>
            <w:tcW w:w="8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28"/>
        </w:trPr>
        <w:tc>
          <w:tcPr>
            <w:tcW w:w="8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40"/>
              <w:spacing w:after="0" w:line="128"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40" w:type="dxa"/>
            <w:vAlign w:val="bottom"/>
          </w:tcPr>
          <w:p>
            <w:pPr>
              <w:spacing w:after="0"/>
              <w:rPr>
                <w:sz w:val="11"/>
                <w:szCs w:val="11"/>
                <w:color w:val="auto"/>
              </w:rPr>
            </w:pPr>
          </w:p>
        </w:tc>
        <w:tc>
          <w:tcPr>
            <w:tcW w:w="1180" w:type="dxa"/>
            <w:vAlign w:val="bottom"/>
          </w:tcPr>
          <w:p>
            <w:pPr>
              <w:jc w:val="right"/>
              <w:ind w:right="303"/>
              <w:spacing w:after="0" w:line="128" w:lineRule="exact"/>
              <w:rPr>
                <w:sz w:val="20"/>
                <w:szCs w:val="20"/>
                <w:color w:val="auto"/>
              </w:rPr>
            </w:pPr>
            <w:r>
              <w:rPr>
                <w:rFonts w:ascii="Times New Roman" w:cs="Times New Roman" w:eastAsia="Times New Roman" w:hAnsi="Times New Roman"/>
                <w:sz w:val="14"/>
                <w:szCs w:val="14"/>
                <w:b w:val="1"/>
                <w:bCs w:val="1"/>
                <w:color w:val="auto"/>
              </w:rPr>
              <w:t>January 3,</w:t>
            </w:r>
          </w:p>
        </w:tc>
      </w:tr>
      <w:tr>
        <w:trPr>
          <w:trHeight w:val="192"/>
        </w:trPr>
        <w:tc>
          <w:tcPr>
            <w:tcW w:w="8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11,251</w:t>
            </w:r>
          </w:p>
        </w:tc>
      </w:tr>
      <w:tr>
        <w:trPr>
          <w:trHeight w:val="21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11,324</w:t>
            </w:r>
          </w:p>
        </w:tc>
      </w:tr>
      <w:tr>
        <w:trPr>
          <w:trHeight w:val="204"/>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share-based compensation expense</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22,138</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25,520</w:t>
            </w:r>
          </w:p>
        </w:tc>
      </w:tr>
      <w:tr>
        <w:trPr>
          <w:trHeight w:val="22"/>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As of January 2, 2026, the total unrecognized compensation costs related to RSUs and PRSUs was $153.5 million, which we expect to recognize over a weighted-average period of 2.2 years. As of January 2, 2026, total unrecognized compensation cost related to our Employee Stock Purchase Plan was $1.6 million.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and Performance-Based Restricted Stock Units</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RSU and PRSU activity for the three months ended January 2, 2026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440" w:type="dxa"/>
            <w:vAlign w:val="bottom"/>
            <w:vMerge w:val="restart"/>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4"/>
        </w:trPr>
        <w:tc>
          <w:tcPr>
            <w:tcW w:w="8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163"/>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4"/>
        </w:trPr>
        <w:tc>
          <w:tcPr>
            <w:tcW w:w="82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Balance as of October 3, 2025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97.19</w:t>
            </w:r>
          </w:p>
        </w:tc>
        <w:tc>
          <w:tcPr>
            <w:tcW w:w="0" w:type="dxa"/>
            <w:vAlign w:val="bottom"/>
          </w:tcPr>
          <w:p>
            <w:pPr>
              <w:spacing w:after="0"/>
              <w:rPr>
                <w:sz w:val="1"/>
                <w:szCs w:val="1"/>
                <w:color w:val="auto"/>
              </w:rPr>
            </w:pPr>
          </w:p>
        </w:tc>
      </w:tr>
      <w:tr>
        <w:trPr>
          <w:trHeight w:val="210"/>
        </w:trPr>
        <w:tc>
          <w:tcPr>
            <w:tcW w:w="8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360" w:type="dxa"/>
            <w:vAlign w:val="bottom"/>
            <w:gridSpan w:val="2"/>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160.86</w:t>
            </w: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340"/>
              <w:spacing w:after="0" w:line="215" w:lineRule="exact"/>
              <w:rPr>
                <w:sz w:val="20"/>
                <w:szCs w:val="20"/>
                <w:color w:val="auto"/>
              </w:rPr>
            </w:pPr>
            <w:r>
              <w:rPr>
                <w:rFonts w:ascii="Times New Roman" w:cs="Times New Roman" w:eastAsia="Times New Roman" w:hAnsi="Times New Roman"/>
                <w:sz w:val="16"/>
                <w:szCs w:val="16"/>
                <w:color w:val="auto"/>
              </w:rPr>
              <w:t xml:space="preserve">Performance-based adjustment </w:t>
            </w:r>
            <w:r>
              <w:rPr>
                <w:rFonts w:ascii="Times New Roman" w:cs="Times New Roman" w:eastAsia="Times New Roman" w:hAnsi="Times New Roman"/>
                <w:sz w:val="20"/>
                <w:szCs w:val="20"/>
                <w:color w:val="auto"/>
                <w:vertAlign w:val="superscript"/>
              </w:rPr>
              <w:t>(1)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36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85.93</w:t>
            </w:r>
          </w:p>
        </w:tc>
        <w:tc>
          <w:tcPr>
            <w:tcW w:w="0" w:type="dxa"/>
            <w:vAlign w:val="bottom"/>
          </w:tcPr>
          <w:p>
            <w:pPr>
              <w:spacing w:after="0"/>
              <w:rPr>
                <w:sz w:val="1"/>
                <w:szCs w:val="1"/>
                <w:color w:val="auto"/>
              </w:rPr>
            </w:pPr>
          </w:p>
        </w:tc>
      </w:tr>
      <w:tr>
        <w:trPr>
          <w:trHeight w:val="210"/>
        </w:trPr>
        <w:tc>
          <w:tcPr>
            <w:tcW w:w="8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Vested and released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360" w:type="dxa"/>
            <w:vAlign w:val="bottom"/>
            <w:gridSpan w:val="2"/>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83.06</w:t>
            </w: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36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91.33</w:t>
            </w:r>
          </w:p>
        </w:tc>
        <w:tc>
          <w:tcPr>
            <w:tcW w:w="0" w:type="dxa"/>
            <w:vAlign w:val="bottom"/>
          </w:tcPr>
          <w:p>
            <w:pPr>
              <w:spacing w:after="0"/>
              <w:rPr>
                <w:sz w:val="1"/>
                <w:szCs w:val="1"/>
                <w:color w:val="auto"/>
              </w:rPr>
            </w:pPr>
          </w:p>
        </w:tc>
      </w:tr>
      <w:tr>
        <w:trPr>
          <w:trHeight w:val="206"/>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January 2, 2026</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360" w:type="dxa"/>
            <w:vAlign w:val="bottom"/>
            <w:gridSpan w:val="2"/>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128.37</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9" w:name="page20"/>
    <w:bookmarkEnd w:id="19"/>
    <w:p>
      <w:pPr>
        <w:jc w:val="both"/>
        <w:ind w:left="160" w:firstLine="6"/>
        <w:spacing w:after="0" w:line="260" w:lineRule="auto"/>
        <w:tabs>
          <w:tab w:leader="none" w:pos="42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represents performance adjustments for performance-based awards. These were granted in prior fiscal years and vested during the three months ended January 2, 2026 based on the Company’s achievement of adjusted earnings per share and total shareholder return performance conditions.</w:t>
      </w:r>
    </w:p>
    <w:p>
      <w:pPr>
        <w:spacing w:after="0" w:line="7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Stock awards that vested during the three months ended January 2, 2026 and January 3, 2025 had combined fair values of $126.8 million and $106.7 million, respectively, as of the vesting date. RSUs granted generally vest over a period of three or four years.</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Market-based PRSUs</w:t>
      </w:r>
    </w:p>
    <w:p>
      <w:pPr>
        <w:spacing w:after="0" w:line="114"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We granted 103,247 market-based PRSUs during the three months ended January 2, 2026, at a weighted average grant date fair value of $208.84 per share. Recipients may earn between 0% and 200% of the target number of shares based on the Company’s achievement of total stockholder return in comparison to a peer group of companies in the PHLX Semiconductor Sector Index (^SOX) over a period of approximately three years. The fair value of the awards was estimated using a Monte Carlo simulation and compensation expense is recognized ratably over the service period based on the grant date fair value of the awards subject to the market condition. The expected volatility of the Company’s common stock was estimated based on the historical average volatility rate over the three-year period. The dividend yield assumption was based on historical and anticipated dividend payouts. The risk-free rate assumption was based on observed interest rates consistent with the three-year measurement period.</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weighted-average assumptions used to value the market-based PRSU awards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4"/>
        </w:trPr>
        <w:tc>
          <w:tcPr>
            <w:tcW w:w="9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28"/>
        </w:trPr>
        <w:tc>
          <w:tcPr>
            <w:tcW w:w="9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jc w:val="center"/>
              <w:ind w:right="103"/>
              <w:spacing w:after="0" w:line="128" w:lineRule="exact"/>
              <w:rPr>
                <w:sz w:val="20"/>
                <w:szCs w:val="20"/>
                <w:color w:val="auto"/>
              </w:rPr>
            </w:pPr>
            <w:r>
              <w:rPr>
                <w:rFonts w:ascii="Times New Roman" w:cs="Times New Roman" w:eastAsia="Times New Roman" w:hAnsi="Times New Roman"/>
                <w:sz w:val="14"/>
                <w:szCs w:val="14"/>
                <w:b w:val="1"/>
                <w:bCs w:val="1"/>
                <w:color w:val="auto"/>
              </w:rPr>
              <w:t>January 2,</w:t>
            </w:r>
          </w:p>
        </w:tc>
      </w:tr>
      <w:tr>
        <w:trPr>
          <w:trHeight w:val="192"/>
        </w:trPr>
        <w:tc>
          <w:tcPr>
            <w:tcW w:w="9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9"/>
              </w:rPr>
              <w:t>2026</w:t>
            </w:r>
          </w:p>
        </w:tc>
      </w:tr>
      <w:tr>
        <w:trPr>
          <w:trHeight w:val="211"/>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grant date stock price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148.31</w:t>
            </w:r>
          </w:p>
        </w:tc>
      </w:tr>
      <w:tr>
        <w:trPr>
          <w:trHeight w:val="210"/>
        </w:trPr>
        <w:tc>
          <w:tcPr>
            <w:tcW w:w="9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stock price at the start of the performance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128.76</w:t>
            </w:r>
          </w:p>
        </w:tc>
      </w:tr>
      <w:tr>
        <w:trPr>
          <w:trHeight w:val="215"/>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risk free interest rate</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3.5%</w:t>
            </w:r>
          </w:p>
        </w:tc>
      </w:tr>
      <w:tr>
        <w:trPr>
          <w:trHeight w:val="210"/>
        </w:trPr>
        <w:tc>
          <w:tcPr>
            <w:tcW w:w="9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years to maturity</w:t>
            </w:r>
          </w:p>
        </w:tc>
        <w:tc>
          <w:tcPr>
            <w:tcW w:w="180" w:type="dxa"/>
            <w:vAlign w:val="bottom"/>
          </w:tcPr>
          <w:p>
            <w:pPr>
              <w:spacing w:after="0"/>
              <w:rPr>
                <w:sz w:val="18"/>
                <w:szCs w:val="18"/>
                <w:color w:val="auto"/>
              </w:rPr>
            </w:pPr>
          </w:p>
        </w:tc>
        <w:tc>
          <w:tcPr>
            <w:tcW w:w="16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2.9</w:t>
            </w:r>
          </w:p>
        </w:tc>
      </w:tr>
      <w:tr>
        <w:trPr>
          <w:trHeight w:val="215"/>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expected volatility rate</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41.6%</w:t>
            </w:r>
          </w:p>
        </w:tc>
      </w:tr>
      <w:tr>
        <w:trPr>
          <w:trHeight w:val="208"/>
        </w:trPr>
        <w:tc>
          <w:tcPr>
            <w:tcW w:w="9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expected dividend yield</w:t>
            </w:r>
          </w:p>
        </w:tc>
        <w:tc>
          <w:tcPr>
            <w:tcW w:w="180" w:type="dxa"/>
            <w:vAlign w:val="bottom"/>
          </w:tcPr>
          <w:p>
            <w:pPr>
              <w:spacing w:after="0"/>
              <w:rPr>
                <w:sz w:val="18"/>
                <w:szCs w:val="18"/>
                <w:color w:val="auto"/>
              </w:rPr>
            </w:pPr>
          </w:p>
        </w:tc>
        <w:tc>
          <w:tcPr>
            <w:tcW w:w="16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14"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We are subject to income tax in the U.S. as well as other tax jurisdictions in which we conduct business. Earnings from non-U.S. activities are subject to local country income tax and may also be subject to U.S. income tax. For interim periods, we record a tax provision or benefit based upon the estimated effective tax rate expected for the full fiscal year, adjusted for material discrete taxation matters arising during the interim periods. Our quarterly tax provision or benefit, and our quarterly estimate of the annual effective tax rate, are subject to significant variation due to several factors. These factors include items such as variability in accurately predicting pre-tax income/loss, the mix of income in jurisdictions in which we operate, intercompany transactions, changes in how we do business, tax law developments, including, but not limited to, impacts associated with the July 4, 2025 Bill, the realizability of our deferred tax assets, any related valuation allowance and relative changes in permanent tax benefits or expenses.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provision for income taxes and effective income tax rate are as follows (in thousands, except percentages):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3160" w:type="dxa"/>
            <w:vAlign w:val="bottom"/>
            <w:gridSpan w:val="5"/>
          </w:tcPr>
          <w:p>
            <w:pPr>
              <w:jc w:val="right"/>
              <w:ind w:right="86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4"/>
        </w:trPr>
        <w:tc>
          <w:tcPr>
            <w:tcW w:w="80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28"/>
        </w:trPr>
        <w:tc>
          <w:tcPr>
            <w:tcW w:w="8040" w:type="dxa"/>
            <w:vAlign w:val="bottom"/>
          </w:tcPr>
          <w:p>
            <w:pPr>
              <w:spacing w:after="0"/>
              <w:rPr>
                <w:sz w:val="11"/>
                <w:szCs w:val="11"/>
                <w:color w:val="auto"/>
              </w:rPr>
            </w:pPr>
          </w:p>
        </w:tc>
        <w:tc>
          <w:tcPr>
            <w:tcW w:w="1100" w:type="dxa"/>
            <w:vAlign w:val="bottom"/>
          </w:tcPr>
          <w:p>
            <w:pPr>
              <w:jc w:val="center"/>
              <w:ind w:left="347"/>
              <w:spacing w:after="0" w:line="128"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jc w:val="center"/>
              <w:ind w:right="185"/>
              <w:spacing w:after="0" w:line="128" w:lineRule="exact"/>
              <w:rPr>
                <w:sz w:val="20"/>
                <w:szCs w:val="20"/>
                <w:color w:val="auto"/>
              </w:rPr>
            </w:pPr>
            <w:r>
              <w:rPr>
                <w:rFonts w:ascii="Times New Roman" w:cs="Times New Roman" w:eastAsia="Times New Roman" w:hAnsi="Times New Roman"/>
                <w:sz w:val="14"/>
                <w:szCs w:val="14"/>
                <w:b w:val="1"/>
                <w:bCs w:val="1"/>
                <w:color w:val="auto"/>
              </w:rPr>
              <w:t>January 3,</w:t>
            </w:r>
          </w:p>
        </w:tc>
      </w:tr>
      <w:tr>
        <w:trPr>
          <w:trHeight w:val="192"/>
        </w:trPr>
        <w:tc>
          <w:tcPr>
            <w:tcW w:w="80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100" w:type="dxa"/>
            <w:vAlign w:val="bottom"/>
            <w:shd w:val="clear" w:color="auto" w:fill="CCEEFF"/>
          </w:tcPr>
          <w:p>
            <w:pPr>
              <w:jc w:val="right"/>
              <w:ind w:right="927"/>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1"/>
              </w:rPr>
              <w:t>822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(2,407)</w:t>
            </w:r>
          </w:p>
        </w:tc>
      </w:tr>
      <w:tr>
        <w:trPr>
          <w:trHeight w:val="208"/>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r>
    </w:tbl>
    <w:p>
      <w:pPr>
        <w:spacing w:after="0" w:line="185"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difference between the U.S. federal statutory income tax rate of 21% and our effective income tax rate for the three months ended January 2, 2026 was primarily driven by favorable share-based compensation and our research and development (“R&amp;D”) tax credits. The difference between the U.S. federal statutory income tax rate of 21% and our effective income tax rate for the three months ended January 3, 2025 was primarily driven by the non-deductibility of the loss on extinguishment of debt and favorable share-based compensation and R&amp;D tax credits, partially offset by global intangible low taxed income (“GILTI”).</w:t>
      </w:r>
    </w:p>
    <w:p>
      <w:pPr>
        <w:spacing w:after="0" w:line="78"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We recognize deferred tax assets to the extent that we believe that these assets are more likely than not to be realized. In making this determination, we consider available positive and negative evidence. We look at factors that may impact the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0" w:name="page21"/>
    <w:bookmarkEnd w:id="20"/>
    <w:p>
      <w:pPr>
        <w:jc w:val="both"/>
        <w:spacing w:after="0" w:line="275" w:lineRule="auto"/>
        <w:rPr>
          <w:sz w:val="20"/>
          <w:szCs w:val="20"/>
          <w:color w:val="auto"/>
        </w:rPr>
      </w:pPr>
      <w:r>
        <w:rPr>
          <w:rFonts w:ascii="Times New Roman" w:cs="Times New Roman" w:eastAsia="Times New Roman" w:hAnsi="Times New Roman"/>
          <w:sz w:val="18"/>
          <w:szCs w:val="18"/>
          <w:color w:val="auto"/>
        </w:rPr>
        <w:t>valuation of our deferred tax assets including results of recent operations, future reversals of existing taxable temporary differences, projected future taxable income and tax-planning strategies.</w:t>
      </w:r>
    </w:p>
    <w:p>
      <w:pPr>
        <w:spacing w:after="0" w:line="5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July 4, 2025 Bill permits deduction of applicable domestic research and development costs in the year they are incurred and no longer requires the deferral and amortization of these costs over five years, among other changes. This change is effective beginning in our fiscal year ending October 2, 2026. The July 4, 2025 Bill permits the acceleration of our unamortized balance of domestic research and development expenses which were previously deferred.</w:t>
      </w:r>
    </w:p>
    <w:p>
      <w:pPr>
        <w:spacing w:after="0" w:line="71"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There were no unrecognized tax benefits as of January 2, 2026 and October 3, 2025. It is our policy to recognize any interest and penalties accrued related to unrecognized tax benefits in income tax expense. During the fiscal quarters ended January 2, 2026 and January 3, 2025, we did not make any accrual or payment of interest or penalties.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SUPPLEMENTAL CASH FLOW INFORMATION</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supplemental cash flow information for the periods presented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76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4"/>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28"/>
        </w:trPr>
        <w:tc>
          <w:tcPr>
            <w:tcW w:w="8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140"/>
              <w:spacing w:after="0" w:line="128"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60" w:type="dxa"/>
            <w:vAlign w:val="bottom"/>
          </w:tcPr>
          <w:p>
            <w:pPr>
              <w:spacing w:after="0"/>
              <w:rPr>
                <w:sz w:val="11"/>
                <w:szCs w:val="11"/>
                <w:color w:val="auto"/>
              </w:rPr>
            </w:pPr>
          </w:p>
        </w:tc>
        <w:tc>
          <w:tcPr>
            <w:tcW w:w="1180" w:type="dxa"/>
            <w:vAlign w:val="bottom"/>
          </w:tcPr>
          <w:p>
            <w:pPr>
              <w:jc w:val="right"/>
              <w:ind w:right="323"/>
              <w:spacing w:after="0" w:line="128" w:lineRule="exact"/>
              <w:rPr>
                <w:sz w:val="20"/>
                <w:szCs w:val="20"/>
                <w:color w:val="auto"/>
              </w:rPr>
            </w:pPr>
            <w:r>
              <w:rPr>
                <w:rFonts w:ascii="Times New Roman" w:cs="Times New Roman" w:eastAsia="Times New Roman" w:hAnsi="Times New Roman"/>
                <w:sz w:val="14"/>
                <w:szCs w:val="14"/>
                <w:b w:val="1"/>
                <w:bCs w:val="1"/>
                <w:color w:val="auto"/>
              </w:rPr>
              <w:t>January 3,</w:t>
            </w:r>
          </w:p>
        </w:tc>
      </w:tr>
      <w:tr>
        <w:trPr>
          <w:trHeight w:val="192"/>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1"/>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paid for interest</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r>
      <w:tr>
        <w:trPr>
          <w:trHeight w:val="210"/>
        </w:trPr>
        <w:tc>
          <w:tcPr>
            <w:tcW w:w="8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r>
      <w:tr>
        <w:trPr>
          <w:trHeight w:val="21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0"/>
        </w:trPr>
        <w:tc>
          <w:tcPr>
            <w:tcW w:w="8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common stock for convertible debt exchange</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205,915</w:t>
            </w:r>
          </w:p>
        </w:tc>
      </w:tr>
      <w:tr>
        <w:trPr>
          <w:trHeight w:val="215"/>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new lease liabilities</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7,921</w:t>
            </w:r>
          </w:p>
        </w:tc>
      </w:tr>
      <w:tr>
        <w:trPr>
          <w:trHeight w:val="210"/>
        </w:trPr>
        <w:tc>
          <w:tcPr>
            <w:tcW w:w="8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Additions to property and equipment, net included in liabilities</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r>
      <w:tr>
        <w:trPr>
          <w:trHeight w:val="215"/>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 of software licenses included in liabilities</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5,578</w:t>
            </w: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17. SEGMENT REPORTING, GEOGRAPHIC AND SIGNIFICANT CUSTOMER INFORMATION</w:t>
      </w:r>
    </w:p>
    <w:p>
      <w:pPr>
        <w:spacing w:after="0" w:line="114" w:lineRule="exact"/>
        <w:rPr>
          <w:sz w:val="20"/>
          <w:szCs w:val="20"/>
          <w:color w:val="auto"/>
        </w:rPr>
      </w:pPr>
    </w:p>
    <w:p>
      <w:pPr>
        <w:jc w:val="both"/>
        <w:ind w:right="100" w:firstLine="319"/>
        <w:spacing w:after="0" w:line="251" w:lineRule="auto"/>
        <w:rPr>
          <w:sz w:val="20"/>
          <w:szCs w:val="20"/>
          <w:color w:val="auto"/>
        </w:rPr>
      </w:pPr>
      <w:r>
        <w:rPr>
          <w:rFonts w:ascii="Times New Roman" w:cs="Times New Roman" w:eastAsia="Times New Roman" w:hAnsi="Times New Roman"/>
          <w:sz w:val="18"/>
          <w:szCs w:val="18"/>
          <w:color w:val="auto"/>
        </w:rPr>
        <w:t>We have one reportable operating segment that designs, develops, manufactures and markets semiconductors and modules. The determination of the number of reportable operating segments is based on the chief operating decision maker’s (“CODM”) use of financial information provided for the purposes of assessing performance and making operating decisions. The Company's CODM is its President and Chief Executive Officer and Chair of the Board. In evaluating financial performance and making operating decisions, the CODM primarily uses consolidated metrics. The Company assesses its determination of operating segments at least annually. We continue to evaluate our internal reporting structure, changes to our business and the potential impact of these changes on our segment reporting. The accounting policies of the single operating segment are the same as those described in the summary of significant account policies.</w:t>
      </w:r>
    </w:p>
    <w:p>
      <w:pPr>
        <w:spacing w:after="0" w:line="78" w:lineRule="exact"/>
        <w:rPr>
          <w:sz w:val="20"/>
          <w:szCs w:val="20"/>
          <w:color w:val="auto"/>
        </w:rPr>
      </w:pPr>
    </w:p>
    <w:p>
      <w:pPr>
        <w:jc w:val="both"/>
        <w:ind w:right="100" w:firstLine="319"/>
        <w:spacing w:after="0" w:line="253" w:lineRule="auto"/>
        <w:rPr>
          <w:sz w:val="20"/>
          <w:szCs w:val="20"/>
          <w:color w:val="auto"/>
        </w:rPr>
      </w:pPr>
      <w:r>
        <w:rPr>
          <w:rFonts w:ascii="Times New Roman" w:cs="Times New Roman" w:eastAsia="Times New Roman" w:hAnsi="Times New Roman"/>
          <w:sz w:val="18"/>
          <w:szCs w:val="18"/>
          <w:color w:val="auto"/>
        </w:rPr>
        <w:t>The CODM uses consolidated gross profit and net income (loss) to assess financial performance against prior periods and our competitors, to decide how to allocate resources and to evaluate income generated from segment assets in deciding whether to reinvest profits into our operations or into other parts of the entity, such as for acquisitions or other investments. The measure of segment assets is reported on the balance sheet as total assets. Financial forecasts and budget to actual results used by the CODM to assess performance and allocate resources, as well as those used for strategic decisions related to headcount and capital expenditures are also reviewed on a consolidated basis.</w:t>
      </w:r>
    </w:p>
    <w:p>
      <w:pPr>
        <w:spacing w:after="0" w:line="78" w:lineRule="exact"/>
        <w:rPr>
          <w:sz w:val="20"/>
          <w:szCs w:val="20"/>
          <w:color w:val="auto"/>
        </w:rPr>
      </w:pPr>
    </w:p>
    <w:p>
      <w:pPr>
        <w:jc w:val="both"/>
        <w:ind w:right="120"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 presents a summary of consolidated net (loss) income inclusive of significant segment expenses and other expense information provided to the CODM (in thousands):</w:t>
      </w:r>
    </w:p>
    <w:p>
      <w:pPr>
        <w:spacing w:after="0" w:line="122" w:lineRule="exact"/>
        <w:rPr>
          <w:sz w:val="20"/>
          <w:szCs w:val="20"/>
          <w:color w:val="auto"/>
        </w:rPr>
      </w:pPr>
    </w:p>
    <w:tbl>
      <w:tblPr>
        <w:tblLayout w:type="fixed"/>
        <w:tblInd w:w="320" w:type="dxa"/>
        <w:tblCellMar>
          <w:top w:w="0" w:type="dxa"/>
          <w:left w:w="0" w:type="dxa"/>
          <w:bottom w:w="0" w:type="dxa"/>
          <w:right w:w="0" w:type="dxa"/>
        </w:tblCellMar>
      </w:tblPr>
      <w:tr>
        <w:trPr>
          <w:trHeight w:val="206"/>
        </w:trPr>
        <w:tc>
          <w:tcPr>
            <w:tcW w:w="86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260" w:type="dxa"/>
            <w:vAlign w:val="bottom"/>
            <w:tcBorders>
              <w:top w:val="single" w:sz="8" w:color="auto"/>
              <w:bottom w:val="single" w:sz="8" w:color="auto"/>
            </w:tcBorders>
            <w:gridSpan w:val="4"/>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2"/>
        </w:trPr>
        <w:tc>
          <w:tcPr>
            <w:tcW w:w="8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 2026</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January 3, 202</w:t>
            </w:r>
          </w:p>
        </w:tc>
      </w:tr>
      <w:tr>
        <w:trPr>
          <w:trHeight w:val="212"/>
        </w:trPr>
        <w:tc>
          <w:tcPr>
            <w:tcW w:w="8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271,612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w:t>
            </w:r>
          </w:p>
        </w:tc>
      </w:tr>
      <w:tr>
        <w:trPr>
          <w:trHeight w:val="210"/>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revenue (1)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115,140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r>
      <w:tr>
        <w:trPr>
          <w:trHeight w:val="210"/>
        </w:trPr>
        <w:tc>
          <w:tcPr>
            <w:tcW w:w="8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 (1)</w:t>
            </w:r>
          </w:p>
        </w:tc>
        <w:tc>
          <w:tcPr>
            <w:tcW w:w="1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55,752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r>
      <w:tr>
        <w:trPr>
          <w:trHeight w:val="215"/>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 (1)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26,747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10"/>
        </w:trPr>
        <w:tc>
          <w:tcPr>
            <w:tcW w:w="8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Share-based compensation including cash incentive stock units (2)</w:t>
            </w:r>
          </w:p>
        </w:tc>
        <w:tc>
          <w:tcPr>
            <w:tcW w:w="1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26,629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215"/>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expense (3)</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0"/>
        </w:trPr>
        <w:tc>
          <w:tcPr>
            <w:tcW w:w="8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Acquisition- and integration-related costs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8"/>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43,297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04"/>
        </w:trPr>
        <w:tc>
          <w:tcPr>
            <w:tcW w:w="8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 net of interest expense</w:t>
            </w:r>
          </w:p>
        </w:tc>
        <w:tc>
          <w:tcPr>
            <w:tcW w:w="1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5"/>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(193,09</w:t>
            </w:r>
          </w:p>
        </w:tc>
      </w:tr>
      <w:tr>
        <w:trPr>
          <w:trHeight w:val="210"/>
        </w:trPr>
        <w:tc>
          <w:tcPr>
            <w:tcW w:w="8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31"/>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48,767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(167,53</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660" w:hanging="255"/>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share-based compensation including cash incentive stock units, amortization expense and acquisition- and integration-related costs.</w:t>
      </w:r>
    </w:p>
    <w:p>
      <w:pPr>
        <w:spacing w:after="0" w:line="24" w:lineRule="exact"/>
        <w:rPr>
          <w:rFonts w:ascii="Times New Roman" w:cs="Times New Roman" w:eastAsia="Times New Roman" w:hAnsi="Times New Roman"/>
          <w:sz w:val="18"/>
          <w:szCs w:val="18"/>
          <w:color w:val="auto"/>
        </w:rPr>
      </w:pPr>
    </w:p>
    <w:p>
      <w:pPr>
        <w:ind w:left="400" w:right="540" w:firstLine="5"/>
        <w:spacing w:after="0" w:line="246" w:lineRule="auto"/>
        <w:tabs>
          <w:tab w:leader="none" w:pos="65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share-based compensation expense for awards that are equity and liability classified on our balance sheet and the related employer tax expense at vesting.</w:t>
      </w:r>
    </w:p>
    <w:p>
      <w:pPr>
        <w:ind w:left="660" w:hanging="255"/>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acquired intangible assets and excludes amortization for purchased software licenses.</w:t>
      </w:r>
    </w:p>
    <w:p>
      <w:pPr>
        <w:spacing w:after="0" w:line="93" w:lineRule="exact"/>
        <w:rPr>
          <w:sz w:val="20"/>
          <w:szCs w:val="20"/>
          <w:color w:val="auto"/>
        </w:rPr>
      </w:pPr>
    </w:p>
    <w:p>
      <w:pPr>
        <w:jc w:val="both"/>
        <w:ind w:right="100" w:firstLine="319"/>
        <w:spacing w:after="0" w:line="255" w:lineRule="auto"/>
        <w:rPr>
          <w:sz w:val="20"/>
          <w:szCs w:val="20"/>
          <w:color w:val="auto"/>
        </w:rPr>
      </w:pPr>
      <w:r>
        <w:rPr>
          <w:rFonts w:ascii="Times New Roman" w:cs="Times New Roman" w:eastAsia="Times New Roman" w:hAnsi="Times New Roman"/>
          <w:sz w:val="18"/>
          <w:szCs w:val="18"/>
          <w:color w:val="auto"/>
        </w:rPr>
        <w:t>This expense information is based on management’s internal view of expense classification when reviewing aspects of financial and operating performance of the business, and may not be representative of expense classification that is comparable to other peer companies’ internal management views. As a result, this expense information should not be considered in isolation or as substitute for analysis of the Company’s results in conjunction with the accompanying condensed consolidated financial statements and notes thereto.</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For information about our revenue in different geographic regions, based upon customer locations, see </w:t>
      </w:r>
      <w:r>
        <w:rPr>
          <w:rFonts w:ascii="Times New Roman" w:cs="Times New Roman" w:eastAsia="Times New Roman" w:hAnsi="Times New Roman"/>
          <w:sz w:val="18"/>
          <w:szCs w:val="18"/>
          <w:i w:val="1"/>
          <w:iCs w:val="1"/>
          <w:color w:val="auto"/>
        </w:rPr>
        <w:t>Note 2 - Revenue</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about net property and equipment in different geographic regions is presented below (in thousands):</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220" w:type="dxa"/>
            <w:vAlign w:val="bottom"/>
          </w:tcPr>
          <w:p>
            <w:pPr>
              <w:spacing w:after="0"/>
              <w:rPr>
                <w:sz w:val="13"/>
                <w:szCs w:val="13"/>
                <w:color w:val="auto"/>
              </w:rPr>
            </w:pPr>
          </w:p>
        </w:tc>
        <w:tc>
          <w:tcPr>
            <w:tcW w:w="112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October 3,</w:t>
            </w:r>
          </w:p>
        </w:tc>
      </w:tr>
      <w:tr>
        <w:trPr>
          <w:trHeight w:val="193"/>
        </w:trPr>
        <w:tc>
          <w:tcPr>
            <w:tcW w:w="84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172,583</w:t>
            </w:r>
          </w:p>
        </w:tc>
      </w:tr>
      <w:tr>
        <w:trPr>
          <w:trHeight w:val="210"/>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France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40,686</w:t>
            </w:r>
          </w:p>
        </w:tc>
      </w:tr>
      <w:tr>
        <w:trPr>
          <w:trHeight w:val="215"/>
        </w:trPr>
        <w:tc>
          <w:tcPr>
            <w:tcW w:w="840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6"/>
                <w:szCs w:val="16"/>
                <w:color w:val="auto"/>
              </w:rPr>
              <w:t xml:space="preserve">Other Countries </w:t>
            </w:r>
            <w:r>
              <w:rPr>
                <w:rFonts w:ascii="Times New Roman" w:cs="Times New Roman" w:eastAsia="Times New Roman" w:hAnsi="Times New Roman"/>
                <w:sz w:val="20"/>
                <w:szCs w:val="20"/>
                <w:color w:val="auto"/>
                <w:vertAlign w:val="superscript"/>
              </w:rPr>
              <w:t>(1)</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17,022</w:t>
            </w:r>
          </w:p>
        </w:tc>
      </w:tr>
      <w:tr>
        <w:trPr>
          <w:trHeight w:val="204"/>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234,705</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230,291</w:t>
            </w:r>
          </w:p>
        </w:tc>
      </w:tr>
      <w:tr>
        <w:trPr>
          <w:trHeight w:val="22"/>
        </w:trPr>
        <w:tc>
          <w:tcPr>
            <w:tcW w:w="8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left="560" w:right="100" w:hanging="315"/>
        <w:spacing w:after="0" w:line="275" w:lineRule="auto"/>
        <w:tabs>
          <w:tab w:leader="none" w:pos="5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United States and France, no country or region represented greater than 10% of the total net property and equipment as of the dates presented.</w:t>
      </w:r>
    </w:p>
    <w:p>
      <w:pPr>
        <w:spacing w:after="0" w:line="2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929" w:right="239" w:bottom="1440" w:gutter="0" w:footer="0" w:header="0"/>
        </w:sectPr>
      </w:pPr>
    </w:p>
    <w:bookmarkStart w:id="22" w:name="page23"/>
    <w:bookmarkEnd w:id="22"/>
    <w:p>
      <w:pPr>
        <w:ind w:left="320"/>
        <w:spacing w:after="0"/>
        <w:rPr>
          <w:sz w:val="20"/>
          <w:szCs w:val="20"/>
          <w:color w:val="auto"/>
        </w:rPr>
      </w:pPr>
      <w:r>
        <w:rPr>
          <w:rFonts w:ascii="Times New Roman" w:cs="Times New Roman" w:eastAsia="Times New Roman" w:hAnsi="Times New Roman"/>
          <w:sz w:val="17"/>
          <w:szCs w:val="17"/>
          <w:color w:val="auto"/>
        </w:rPr>
        <w:t>The following is a summary of customer concentrations as a percentage of revenue and accounts receivable as of and for the periods presented:</w:t>
      </w:r>
    </w:p>
    <w:p>
      <w:pPr>
        <w:spacing w:after="0" w:line="51"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5182235</wp:posOffset>
            </wp:positionH>
            <wp:positionV relativeFrom="paragraph">
              <wp:posOffset>31750</wp:posOffset>
            </wp:positionV>
            <wp:extent cx="19481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48180" cy="8255"/>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Revenue</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Customer A</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Customer 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Accounts Receivable</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Customer A</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Customer B</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Customer C</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January 2,</w:t>
      </w:r>
    </w:p>
    <w:p>
      <w:pPr>
        <w:spacing w:after="0" w:line="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-5434965</wp:posOffset>
            </wp:positionH>
            <wp:positionV relativeFrom="paragraph">
              <wp:posOffset>11430</wp:posOffset>
            </wp:positionV>
            <wp:extent cx="7117715" cy="151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7715" cy="151765"/>
                    </a:xfrm>
                    <a:prstGeom prst="rect">
                      <a:avLst/>
                    </a:prstGeom>
                    <a:noFill/>
                  </pic:spPr>
                </pic:pic>
              </a:graphicData>
            </a:graphic>
          </wp:anchor>
        </w:drawing>
      </w:r>
    </w:p>
    <w:p>
      <w:pPr>
        <w:spacing w:after="0" w:line="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16 %</w:t>
      </w:r>
    </w:p>
    <w:p>
      <w:pPr>
        <w:spacing w:after="0" w:line="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321945</wp:posOffset>
            </wp:positionV>
            <wp:extent cx="9359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599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January 2,</w:t>
      </w:r>
    </w:p>
    <w:p>
      <w:pPr>
        <w:spacing w:after="0" w:line="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-5434965</wp:posOffset>
            </wp:positionH>
            <wp:positionV relativeFrom="paragraph">
              <wp:posOffset>11430</wp:posOffset>
            </wp:positionV>
            <wp:extent cx="7117715" cy="143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7715" cy="14351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19 %</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11 %</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-5434965</wp:posOffset>
            </wp:positionH>
            <wp:positionV relativeFrom="paragraph">
              <wp:posOffset>-115570</wp:posOffset>
            </wp:positionV>
            <wp:extent cx="7117715" cy="134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7715"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January 3,</w:t>
      </w:r>
    </w:p>
    <w:p>
      <w:pPr>
        <w:spacing w:after="0" w:line="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14 %</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321310</wp:posOffset>
            </wp:positionV>
            <wp:extent cx="9359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599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October 3,</w:t>
      </w:r>
    </w:p>
    <w:p>
      <w:pPr>
        <w:spacing w:after="0" w:line="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11 %</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11 %</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11 %</w:t>
      </w:r>
    </w:p>
    <w:p>
      <w:pPr>
        <w:spacing w:after="0" w:line="200" w:lineRule="exact"/>
        <w:rPr>
          <w:sz w:val="20"/>
          <w:szCs w:val="20"/>
          <w:color w:val="auto"/>
        </w:rPr>
      </w:pPr>
    </w:p>
    <w:p>
      <w:pPr>
        <w:sectPr>
          <w:pgSz w:w="11900" w:h="16838" w:orient="portrait"/>
          <w:cols w:equalWidth="0" w:num="3">
            <w:col w:w="7860" w:space="720"/>
            <w:col w:w="1060" w:space="520"/>
            <w:col w:w="1060"/>
          </w:cols>
          <w:pgMar w:left="320" w:top="865" w:right="35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w:t>
      </w:r>
    </w:p>
    <w:p>
      <w:pPr>
        <w:spacing w:after="0" w:line="114"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No other customer represented more than 10% of revenue or accounts receivable in the periods presented in the accompanying condensed consolidated financial statements. For each of the three months ended January 2, 2026 and January 3, 2025, our top ten customers represented 60% of total revenue.</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type w:val="continuous"/>
        </w:sectPr>
      </w:pPr>
    </w:p>
    <w:bookmarkStart w:id="23" w:name="page24"/>
    <w:bookmarkEnd w:id="23"/>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85"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the condensed consolidated financial statements and the notes thereto included elsewhere in this Quarterly Report on Form 10-Q and our Annual Report on Form 10-K for the fiscal year ended October 3, 2025 filed with the United States Securities and Exchange Commission (“SEC”) on November 14, 2025 (the “2025 Annual Report on Form 10-K”).</w:t>
      </w:r>
    </w:p>
    <w:p>
      <w:pPr>
        <w:spacing w:after="0" w:line="14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In this document, the words “Company,” “we,” “our,” “us,” and similar terms refer only to MACOM Technology Solutions Holdings, Inc. and its consolidated subsidiaries, and not any other person or entity.</w:t>
      </w:r>
    </w:p>
    <w:p>
      <w:pPr>
        <w:spacing w:after="0" w:line="176" w:lineRule="exact"/>
        <w:rPr>
          <w:sz w:val="20"/>
          <w:szCs w:val="20"/>
          <w:color w:val="auto"/>
        </w:rPr>
      </w:pPr>
    </w:p>
    <w:p>
      <w:pPr>
        <w:jc w:val="both"/>
        <w:ind w:firstLine="319"/>
        <w:spacing w:after="0" w:line="259" w:lineRule="auto"/>
        <w:rPr>
          <w:sz w:val="20"/>
          <w:szCs w:val="20"/>
          <w:color w:val="auto"/>
        </w:rPr>
      </w:pPr>
      <w:r>
        <w:rPr>
          <w:rFonts w:ascii="Times New Roman" w:cs="Times New Roman" w:eastAsia="Times New Roman" w:hAnsi="Times New Roman"/>
          <w:sz w:val="18"/>
          <w:szCs w:val="18"/>
          <w:color w:val="auto"/>
        </w:rPr>
        <w:t>“MACOM,” “MACOM Technology Solutions,” and related logos are trademarks of MACOM Technology Solutions Holdings, Inc. All other brands and names listed are trademarks of their respective owners.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4"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This Item 2, “Management’s Discussion and Analysis of Financial Condition and Results of Operations” and other sections of this Quarterly Report on Form 10-Q contain “forward-looking statements” including statements regarding our business outlook, strategic plans and priorities, expectations, anticipated drivers of future revenue growth, industry trends, our plans for use of our cash and cash equivalents and short-term investments, interest rate and foreign currency risks, our ability to meet working capital requirements, estimates and objectives for future operations, our future results of operations and our financial position, including liquidity, and other matters that do not relate strictly to historical facts. Forward-looking statements generally may be identified by terms such as “anticipates,” “believes,” “could,” “continue,” “estimates,” “expects,” “intends,” “may,” “plans,” “potential,” “predicts,” “projects,” “seeks,” “should,” “targets,” “will,” “would” or similar expressions or variations or the negatives of those terms. Forward-looking statements are neither historical factors nor assurances about future performance. Instead, they are based only on our current beliefs, expectations and assumptions. Because forward-looking statements relate to the future, such statements involve inherent risks, changes and uncertainties that are difficult to predict and many of which are outside of our control. A number of important factors could cause actual results and outcomes to differ materially and adversely from those expressed or implied by our forward-looking statements. Important factors that could cause actual results to differ materially from the forward-looking statements include, among others, the risks described in the section entitled “Item 1A - Risk Factors” in this Quarterly Report on Form 10-Q and our 2025 Annual Report on Form 10-K. We caution the reader to carefully consider such factors. Furthermore, such forward-looking statements speak only as of the date of this Quarterly Report on Form 10-Q. Except as required by law, we undertake no obligation to revise or update our forward-looking statements to reflect any event or circumstance that may arise after the date of this Quarterly Report on Form 10-Q.</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4" w:lineRule="exact"/>
        <w:rPr>
          <w:sz w:val="20"/>
          <w:szCs w:val="20"/>
          <w:color w:val="auto"/>
        </w:rPr>
      </w:pPr>
    </w:p>
    <w:p>
      <w:pPr>
        <w:jc w:val="both"/>
        <w:ind w:firstLine="319"/>
        <w:spacing w:after="0" w:line="264" w:lineRule="auto"/>
        <w:rPr>
          <w:sz w:val="20"/>
          <w:szCs w:val="20"/>
          <w:color w:val="auto"/>
        </w:rPr>
      </w:pPr>
      <w:r>
        <w:rPr>
          <w:rFonts w:ascii="Times New Roman" w:cs="Times New Roman" w:eastAsia="Times New Roman" w:hAnsi="Times New Roman"/>
          <w:sz w:val="17"/>
          <w:szCs w:val="17"/>
          <w:color w:val="auto"/>
        </w:rPr>
        <w:t>We design, develop and manufacture differentiated semiconductor products and solutions for the Industrial and Defense (“I&amp;D”), Data Center and Telecommunications (“Telecom”) industries for customers who demand high performance, quality and reliability. We are headquartered in Lowell, Massachusetts, with operational facilities throughout North America, Europe and Asia. We have more than 70 years of application expertise, combined with expertise in analog and mixed signal circuit design, compound semiconductor fabrication (including GaAs, GaN, indium phosphide (“InP”) and specialized silicon), advanced packaging and back-end assembly and test. We offer a broad portfolio of thousands of standard and custom devices, which include integrated circuits (“ICs”), multi-chip modules (MCM), diodes, amplifiers, switches and switch limiters, passive and active components and radio frequency (RF) and optical subsystems, which make up dozens of product lines that service over 6,000 end customers in our three primary markets. Our products are electronic components that our customers generally incorporate into larger electronic systems, such as wireless basestations, high-capacity optical networks, data center networks, radar, medical systems, satellite networks and test and measurement applications. Our primary end markets are: (1) I&amp;D, which includes military and commercial radar, RF jammers, electronic countermeasures, communication data links, space-related electronics and various wired and wireless multi-market applications, which include industrial, medical, test and measurement and scientific applications; (2) Data Center, which includes intra-Data Center, Data Center Interconnect (DCI) applications, at 100G, 200G, 400G, 800G, 1.6T, 3.2T and higher speeds, enabled by our broad portfolio of analog ICs and photonic components for high speed connectivity customers; and (3) Telecom, which includes carrier infrastructure such as long-haul/metro, 5G and 6G infrastructure, satellite communications (“SATCOM”) and Fiber-to-the-X (FTTx)/passive optical network (PON), among others.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Description of Our Revenue</w:t>
      </w:r>
    </w:p>
    <w:p>
      <w:pPr>
        <w:spacing w:after="0" w:line="11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Our revenue is derived from sales of high-performance RF, microwave, millimeter wave, optical and photonic semiconductor products.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 integrate, manufacture and package differentiated, semiconductor-based products that we sell to customers through our direct sales organization, our network of independent sales representatives and our distributors.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the primary drivers of our future revenue growth will include:</w:t>
      </w:r>
    </w:p>
    <w:p>
      <w:pPr>
        <w:spacing w:after="0" w:line="112" w:lineRule="exact"/>
        <w:rPr>
          <w:sz w:val="20"/>
          <w:szCs w:val="20"/>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in the demand for high-performance analog, digital and optical semiconductors in our three primary markets;</w:t>
      </w:r>
    </w:p>
    <w:p>
      <w:pPr>
        <w:spacing w:after="0" w:line="11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new products using advanced technologies, added features, higher levels of integration and improved performance;</w:t>
      </w:r>
    </w:p>
    <w:p>
      <w:pPr>
        <w:spacing w:after="0" w:line="11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content of our semiconductor solutions in customers’ systems through cross-selling our product lines;</w:t>
      </w:r>
    </w:p>
    <w:p>
      <w:pPr>
        <w:spacing w:after="0" w:line="11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core strength and leadership position in standard, catalog products that service all of our end applications; and</w:t>
      </w:r>
    </w:p>
    <w:p>
      <w:pPr>
        <w:spacing w:after="0" w:line="11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early with our lead customers to develop custom and standard products.</w:t>
      </w:r>
    </w:p>
    <w:p>
      <w:pPr>
        <w:spacing w:after="0" w:line="1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Our core strategy is to develop and innovate high-performance products that address our customers’ most difficult technical challenges in our primary markets: I&amp;D, Data Center and Telecom.</w:t>
      </w:r>
    </w:p>
    <w:p>
      <w:pPr>
        <w:spacing w:after="0" w:line="5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We expect our revenue in the I&amp;D market to be driven by the expanding product portfolio that we offer which services applications such as test and measurement, space-related electronics, civil and military radar, industrial, automotive, scientific and medical applications, further supported by growth in applications for our multi-market catalog products.</w:t>
      </w:r>
    </w:p>
    <w:p>
      <w:pPr>
        <w:spacing w:after="0" w:line="71"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We expect our revenue in the Data Center market to be driven by the adoption of higher speed processing technologies and the upgrade of data center architectures to 100G, 200G, 400G, 800G, 1.6T and 3.2T interconnects, which we expect will drive adoption of higher speed optical and photonic components.</w:t>
      </w:r>
    </w:p>
    <w:p>
      <w:pPr>
        <w:spacing w:after="0" w:line="7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We expect our revenue in the Telecom market to be driven by 5G deployments, with continued upgrades and expansion of communications equipment, SATCOM networks and increasing adoption of our high-performance RF, millimeter wave, optical and photonic components.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w:t>
      </w:r>
      <w:r>
        <w:rPr>
          <w:rFonts w:ascii="Times New Roman" w:cs="Times New Roman" w:eastAsia="Times New Roman" w:hAnsi="Times New Roman"/>
          <w:sz w:val="18"/>
          <w:szCs w:val="18"/>
          <w:color w:val="auto"/>
        </w:rPr>
        <w:t>s</w:t>
      </w:r>
    </w:p>
    <w:p>
      <w:pPr>
        <w:spacing w:after="0" w:line="114"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condensed consolidated financial statements. The preparation of financial statements, in conformity with GAAP, requires management to make estimates and judgments that affect the reported amounts of assets and liabilities, the reported amounts of revenue and expenses during the reporting period and disclosure of contingent assets and liabilities at the date of the financial statements. By their nature, these estimates and judgments are subject to an inherent degree of uncertainty and could be material if our actual or expected experience were to change unexpectedly. On an ongoing basis, we re-evaluate our estimates and judgments.</w:t>
      </w:r>
    </w:p>
    <w:p>
      <w:pPr>
        <w:spacing w:after="0" w:line="78"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base our estimates and judgments on our historical experience and on other assumptions that we believe are reasonable under the circumstances, the results of which form the basis for making the judgments about the carrying values of assets and liabilities that are not readily apparent from other sources. Actual results could differ from those estimates and material effects on our operating results and financial position may result. The accounting policies which our management believes involve the most significant application of judgment or involve complex estimation, are inventories and associated reserves; revenue reserves; business combinations; goodwill and intangible asset valuation; share-based compensation valuations and income taxes.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14"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We apply significant estimates and judgments in order to determine the fair value of the identified tangible and intangible assets acquired, liabilities assumed and goodwill recognized in business combinations. The value of all assets and liabilities are recognized at fair value as of the acquisition date using a market participant approach. In measuring the fair value, we utilize a number of valuation techniques. When determining the fair value of property and equipment acquired, generally we must estimate the cost to replace the asset with a new asset taking into consideration such factors as age, condition and the economic useful life of the asset. When determining the fair value of intangible assets acquired, typically determined using a discounted cash flow valuation method, we use assumptions such as the timing and amount of future cash flows, discount rates, weighted average cost of capital and estimated useful lives. These assessments can be significantly affected by our judgments.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 valuation</w:t>
      </w:r>
    </w:p>
    <w:p>
      <w:pPr>
        <w:spacing w:after="0" w:line="114"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Significant management judgment is required in our valuation of goodwill and intangible assets, many of which are based on the creation of forecasts of future operating results that are used in the valuation, including (i) estimation of future cash</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25" w:name="page26"/>
    <w:bookmarkEnd w:id="25"/>
    <w:p>
      <w:pPr>
        <w:jc w:val="both"/>
        <w:spacing w:after="0" w:line="253" w:lineRule="auto"/>
        <w:rPr>
          <w:sz w:val="20"/>
          <w:szCs w:val="20"/>
          <w:color w:val="auto"/>
        </w:rPr>
      </w:pPr>
      <w:r>
        <w:rPr>
          <w:rFonts w:ascii="Times New Roman" w:cs="Times New Roman" w:eastAsia="Times New Roman" w:hAnsi="Times New Roman"/>
          <w:sz w:val="18"/>
          <w:szCs w:val="18"/>
          <w:color w:val="auto"/>
        </w:rPr>
        <w:t>flows, (ii) estimation of the long-term rate of growth for our business, (iii) estimation of the useful life over which cash flows will occur, (iv) terminal values, if applicable, and (v) the determination of our weighted average cost of capital, which helps determine the discount rate. It is possible that these forecasts may change, and our performance projections included in our forecasts of future results may prove to be inaccurate. The value of our goodwill and purchased intangible assets could also be impacted by future adverse changes, such as a decline in the valuation of technology company stocks, including the valuation of our common stock, or a significant slowdown in the worldwide economy or in the semiconductor industry.</w:t>
      </w:r>
    </w:p>
    <w:p>
      <w:pPr>
        <w:spacing w:after="0" w:line="76"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 xml:space="preserve">For additional information related to these and other accounting policies refer to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our Consolidated Financial Statements included in Item 8 of Part II, “Financial Statements and Supplementary Data,” of the 2025 Annual Report on Form 10-K and </w:t>
      </w:r>
      <w:r>
        <w:rPr>
          <w:rFonts w:ascii="Times New Roman" w:cs="Times New Roman" w:eastAsia="Times New Roman" w:hAnsi="Times New Roman"/>
          <w:sz w:val="18"/>
          <w:szCs w:val="18"/>
          <w:i w:val="1"/>
          <w:iCs w:val="1"/>
          <w:color w:val="auto"/>
        </w:rPr>
        <w:t>Note 1 -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Basis of Presentation and Summary of Significant Accounting Policies </w:t>
      </w:r>
      <w:r>
        <w:rPr>
          <w:rFonts w:ascii="Times New Roman" w:cs="Times New Roman" w:eastAsia="Times New Roman" w:hAnsi="Times New Roman"/>
          <w:sz w:val="18"/>
          <w:szCs w:val="18"/>
          <w:color w:val="auto"/>
        </w:rPr>
        <w:t>to our condensed consolidated financial statements in this Quarterly Report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10-Q.</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4"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are required to estimate our income taxes in each of the jurisdictions in which we operate. This process involves estimating our current tax exposure and assessing temporary differences resulting from differing treatment of items for tax and accounting purposes. These differences result in deferred tax assets and liabilities, which are included within our Consolidated Balance Sheets. We then assess the likelihood that our deferred tax assets will be recovered from future taxable income within the relevant jurisdiction. To the extent we believe that recovery is not likely, we must establish a valuation allowance. We provide valuation allowances for certain deferred tax assets where it is more likely than not that any portion will not be realized.</w:t>
      </w:r>
    </w:p>
    <w:p>
      <w:pPr>
        <w:spacing w:after="0" w:line="78"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application of tax laws and regulations to calculate our tax liabilities is subject to legal and factual interpretation, judgment and uncertainty in a multitude of jurisdictions. Tax laws and regulations themselves are subject to change as a result of changes in fiscal policy, changes in legislation, the evolution of regulations, including the July 4, 2025 Bill, as well as court rulings. We recognize potential liabilities for anticipated tax audit matters in the United States and other tax jurisdictions based on our estimate of whether, and the extent to which, additional taxes and interest will be due. We record an amount as an estimate of probable additional income tax liability at the largest amount that we feel is more likely than not, based upon the technical merits of the position, to be sustained upon audit by the relevant tax authority.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our statements of operations data (in thousands):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4"/>
        </w:trPr>
        <w:tc>
          <w:tcPr>
            <w:tcW w:w="8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28"/>
        </w:trPr>
        <w:tc>
          <w:tcPr>
            <w:tcW w:w="8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40"/>
              <w:spacing w:after="0" w:line="128"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40" w:type="dxa"/>
            <w:vAlign w:val="bottom"/>
          </w:tcPr>
          <w:p>
            <w:pPr>
              <w:spacing w:after="0"/>
              <w:rPr>
                <w:sz w:val="11"/>
                <w:szCs w:val="11"/>
                <w:color w:val="auto"/>
              </w:rPr>
            </w:pPr>
          </w:p>
        </w:tc>
        <w:tc>
          <w:tcPr>
            <w:tcW w:w="1180" w:type="dxa"/>
            <w:vAlign w:val="bottom"/>
          </w:tcPr>
          <w:p>
            <w:pPr>
              <w:jc w:val="right"/>
              <w:ind w:right="301"/>
              <w:spacing w:after="0" w:line="128" w:lineRule="exact"/>
              <w:rPr>
                <w:sz w:val="20"/>
                <w:szCs w:val="20"/>
                <w:color w:val="auto"/>
              </w:rPr>
            </w:pPr>
            <w:r>
              <w:rPr>
                <w:rFonts w:ascii="Times New Roman" w:cs="Times New Roman" w:eastAsia="Times New Roman" w:hAnsi="Times New Roman"/>
                <w:sz w:val="14"/>
                <w:szCs w:val="14"/>
                <w:b w:val="1"/>
                <w:bCs w:val="1"/>
                <w:color w:val="auto"/>
              </w:rPr>
              <w:t>January 3,</w:t>
            </w:r>
          </w:p>
        </w:tc>
      </w:tr>
      <w:tr>
        <w:trPr>
          <w:trHeight w:val="192"/>
        </w:trPr>
        <w:tc>
          <w:tcPr>
            <w:tcW w:w="8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218,122</w:t>
            </w:r>
          </w:p>
        </w:tc>
      </w:tr>
      <w:tr>
        <w:trPr>
          <w:trHeight w:val="212"/>
        </w:trPr>
        <w:tc>
          <w:tcPr>
            <w:tcW w:w="8240" w:type="dxa"/>
            <w:vAlign w:val="bottom"/>
            <w:tcBorders>
              <w:bottom w:val="single" w:sz="8" w:color="CCEEFF"/>
            </w:tcBorders>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20"/>
                <w:szCs w:val="20"/>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119,833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101,013</w:t>
            </w:r>
          </w:p>
        </w:tc>
      </w:tr>
      <w:tr>
        <w:trPr>
          <w:trHeight w:val="20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151,779</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117,109</w:t>
            </w:r>
          </w:p>
        </w:tc>
      </w:t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5"/>
        </w:trPr>
        <w:tc>
          <w:tcPr>
            <w:tcW w:w="8240" w:type="dxa"/>
            <w:vAlign w:val="bottom"/>
            <w:shd w:val="clear" w:color="auto" w:fill="CCEEFF"/>
          </w:tcPr>
          <w:p>
            <w:pPr>
              <w:ind w:left="340"/>
              <w:spacing w:after="0" w:line="215" w:lineRule="exact"/>
              <w:rPr>
                <w:sz w:val="20"/>
                <w:szCs w:val="20"/>
                <w:color w:val="auto"/>
              </w:rPr>
            </w:pPr>
            <w:r>
              <w:rPr>
                <w:rFonts w:ascii="Times New Roman" w:cs="Times New Roman" w:eastAsia="Times New Roman" w:hAnsi="Times New Roman"/>
                <w:sz w:val="16"/>
                <w:szCs w:val="16"/>
                <w:color w:val="auto"/>
              </w:rPr>
              <w:t xml:space="preserve">Research and development </w:t>
            </w:r>
            <w:r>
              <w:rPr>
                <w:rFonts w:ascii="Times New Roman" w:cs="Times New Roman" w:eastAsia="Times New Roman" w:hAnsi="Times New Roman"/>
                <w:sz w:val="20"/>
                <w:szCs w:val="20"/>
                <w:color w:val="auto"/>
                <w:vertAlign w:val="superscript"/>
              </w:rPr>
              <w:t>(1)</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60,369</w:t>
            </w:r>
          </w:p>
        </w:tc>
      </w:tr>
      <w:tr>
        <w:trPr>
          <w:trHeight w:val="212"/>
        </w:trPr>
        <w:tc>
          <w:tcPr>
            <w:tcW w:w="8240" w:type="dxa"/>
            <w:vAlign w:val="bottom"/>
            <w:tcBorders>
              <w:bottom w:val="single" w:sz="8" w:color="CCEEFF"/>
            </w:tcBorders>
          </w:tcPr>
          <w:p>
            <w:pPr>
              <w:ind w:left="340"/>
              <w:spacing w:after="0" w:line="212" w:lineRule="exact"/>
              <w:rPr>
                <w:sz w:val="20"/>
                <w:szCs w:val="20"/>
                <w:color w:val="auto"/>
              </w:rPr>
            </w:pPr>
            <w:r>
              <w:rPr>
                <w:rFonts w:ascii="Times New Roman" w:cs="Times New Roman" w:eastAsia="Times New Roman" w:hAnsi="Times New Roman"/>
                <w:sz w:val="16"/>
                <w:szCs w:val="16"/>
                <w:color w:val="auto"/>
              </w:rPr>
              <w:t xml:space="preserve">Selling, general and administrative </w:t>
            </w:r>
            <w:r>
              <w:rPr>
                <w:rFonts w:ascii="Times New Roman" w:cs="Times New Roman" w:eastAsia="Times New Roman" w:hAnsi="Times New Roman"/>
                <w:sz w:val="20"/>
                <w:szCs w:val="20"/>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39,213</w:t>
            </w:r>
          </w:p>
        </w:tc>
      </w:tr>
      <w:tr>
        <w:trPr>
          <w:trHeight w:val="206"/>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108,482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99,582</w:t>
            </w:r>
          </w:p>
        </w:tc>
      </w:tr>
      <w:tr>
        <w:trPr>
          <w:trHeight w:val="204"/>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43,297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17,527</w:t>
            </w:r>
          </w:p>
        </w:tc>
      </w:tr>
      <w:tr>
        <w:trPr>
          <w:trHeight w:val="19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0"/>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r>
      <w:tr>
        <w:trPr>
          <w:trHeight w:val="215"/>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w:t>
            </w:r>
          </w:p>
        </w:tc>
      </w:tr>
      <w:tr>
        <w:trPr>
          <w:trHeight w:val="210"/>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(193,098)</w:t>
            </w:r>
          </w:p>
        </w:tc>
      </w:tr>
      <w:tr>
        <w:trPr>
          <w:trHeight w:val="208"/>
        </w:trPr>
        <w:tc>
          <w:tcPr>
            <w:tcW w:w="824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(187,464)</w:t>
            </w:r>
          </w:p>
        </w:tc>
      </w:tr>
      <w:tr>
        <w:trPr>
          <w:trHeight w:val="20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49,589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(169,937)</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w:t>
            </w:r>
          </w:p>
        </w:tc>
      </w:tr>
      <w:tr>
        <w:trPr>
          <w:trHeight w:val="208"/>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48,767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(167,530)</w:t>
            </w: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ind w:left="640" w:right="100" w:hanging="315"/>
        <w:spacing w:after="0" w:line="273" w:lineRule="auto"/>
        <w:tabs>
          <w:tab w:leader="none" w:pos="70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Amortization expense related to intangible assets arising from acquisitions and purchased software licenses and (b) Share-based compensation expense included in our condensed consolidated statements of operations as set forth below (in thousands):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6" w:name="page27"/>
    <w:bookmarkEnd w:id="26"/>
    <w:tbl>
      <w:tblPr>
        <w:tblLayout w:type="fixed"/>
        <w:tblInd w:w="64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4"/>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4"/>
        </w:trPr>
        <w:tc>
          <w:tcPr>
            <w:tcW w:w="7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8"/>
        </w:trPr>
        <w:tc>
          <w:tcPr>
            <w:tcW w:w="7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120"/>
              <w:spacing w:after="0" w:line="128"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20" w:type="dxa"/>
            <w:vAlign w:val="bottom"/>
          </w:tcPr>
          <w:p>
            <w:pPr>
              <w:spacing w:after="0"/>
              <w:rPr>
                <w:sz w:val="11"/>
                <w:szCs w:val="11"/>
                <w:color w:val="auto"/>
              </w:rPr>
            </w:pPr>
          </w:p>
        </w:tc>
        <w:tc>
          <w:tcPr>
            <w:tcW w:w="1140" w:type="dxa"/>
            <w:vAlign w:val="bottom"/>
          </w:tcPr>
          <w:p>
            <w:pPr>
              <w:jc w:val="right"/>
              <w:ind w:right="283"/>
              <w:spacing w:after="0" w:line="128" w:lineRule="exact"/>
              <w:rPr>
                <w:sz w:val="20"/>
                <w:szCs w:val="20"/>
                <w:color w:val="auto"/>
              </w:rPr>
            </w:pPr>
            <w:r>
              <w:rPr>
                <w:rFonts w:ascii="Times New Roman" w:cs="Times New Roman" w:eastAsia="Times New Roman" w:hAnsi="Times New Roman"/>
                <w:sz w:val="14"/>
                <w:szCs w:val="14"/>
                <w:b w:val="1"/>
                <w:bCs w:val="1"/>
                <w:color w:val="auto"/>
              </w:rPr>
              <w:t>January 3,</w:t>
            </w:r>
          </w:p>
        </w:tc>
      </w:tr>
      <w:tr>
        <w:trPr>
          <w:trHeight w:val="192"/>
        </w:trPr>
        <w:tc>
          <w:tcPr>
            <w:tcW w:w="70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 Intangible amortization expense:</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0"/>
        </w:trPr>
        <w:tc>
          <w:tcPr>
            <w:tcW w:w="7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1,621</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3,332</w:t>
            </w:r>
          </w:p>
        </w:tc>
      </w:tr>
      <w:tr>
        <w:trPr>
          <w:trHeight w:val="215"/>
        </w:trPr>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w:t>
            </w:r>
          </w:p>
        </w:tc>
      </w:tr>
      <w:tr>
        <w:trPr>
          <w:trHeight w:val="210"/>
        </w:trPr>
        <w:tc>
          <w:tcPr>
            <w:tcW w:w="7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2,007</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3,260</w:t>
            </w:r>
          </w:p>
        </w:tc>
      </w:tr>
      <w:tr>
        <w:trPr>
          <w:trHeight w:val="21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 Share-based compensation expense: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0"/>
        </w:trPr>
        <w:tc>
          <w:tcPr>
            <w:tcW w:w="7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2,244</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2,945</w:t>
            </w:r>
          </w:p>
        </w:tc>
      </w:tr>
      <w:tr>
        <w:trPr>
          <w:trHeight w:val="215"/>
        </w:trPr>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8,774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11,251</w:t>
            </w:r>
          </w:p>
        </w:tc>
      </w:tr>
      <w:tr>
        <w:trPr>
          <w:trHeight w:val="208"/>
        </w:trPr>
        <w:tc>
          <w:tcPr>
            <w:tcW w:w="7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11,120</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11,324</w:t>
            </w:r>
          </w:p>
        </w:tc>
      </w:tr>
    </w:tbl>
    <w:p>
      <w:pPr>
        <w:spacing w:after="0" w:line="3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our statements of operations data expressed as a percentage of our revenue:</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180" w:type="dxa"/>
            <w:vAlign w:val="bottom"/>
            <w:gridSpan w:val="3"/>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4"/>
        </w:trPr>
        <w:tc>
          <w:tcPr>
            <w:tcW w:w="802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28"/>
        </w:trPr>
        <w:tc>
          <w:tcPr>
            <w:tcW w:w="8020" w:type="dxa"/>
            <w:vAlign w:val="bottom"/>
          </w:tcPr>
          <w:p>
            <w:pPr>
              <w:spacing w:after="0"/>
              <w:rPr>
                <w:sz w:val="11"/>
                <w:szCs w:val="11"/>
                <w:color w:val="auto"/>
              </w:rPr>
            </w:pPr>
          </w:p>
        </w:tc>
        <w:tc>
          <w:tcPr>
            <w:tcW w:w="1640" w:type="dxa"/>
            <w:vAlign w:val="bottom"/>
            <w:gridSpan w:val="2"/>
          </w:tcPr>
          <w:p>
            <w:pPr>
              <w:ind w:left="440"/>
              <w:spacing w:after="0" w:line="128"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540" w:type="dxa"/>
            <w:vAlign w:val="bottom"/>
          </w:tcPr>
          <w:p>
            <w:pPr>
              <w:jc w:val="right"/>
              <w:ind w:right="361"/>
              <w:spacing w:after="0" w:line="128" w:lineRule="exact"/>
              <w:rPr>
                <w:sz w:val="20"/>
                <w:szCs w:val="20"/>
                <w:color w:val="auto"/>
              </w:rPr>
            </w:pPr>
            <w:r>
              <w:rPr>
                <w:rFonts w:ascii="Times New Roman" w:cs="Times New Roman" w:eastAsia="Times New Roman" w:hAnsi="Times New Roman"/>
                <w:sz w:val="14"/>
                <w:szCs w:val="14"/>
                <w:b w:val="1"/>
                <w:bCs w:val="1"/>
                <w:color w:val="auto"/>
              </w:rPr>
              <w:t>January 3,</w:t>
            </w:r>
          </w:p>
        </w:tc>
      </w:tr>
      <w:tr>
        <w:trPr>
          <w:trHeight w:val="192"/>
        </w:trPr>
        <w:tc>
          <w:tcPr>
            <w:tcW w:w="80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5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46.3</w:t>
            </w: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5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53.7</w:t>
            </w:r>
          </w:p>
        </w:tc>
      </w:tr>
      <w:tr>
        <w:trPr>
          <w:trHeight w:val="190"/>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5"/>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5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27.7</w:t>
            </w:r>
          </w:p>
        </w:tc>
      </w:tr>
      <w:tr>
        <w:trPr>
          <w:trHeight w:val="210"/>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5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18.0</w:t>
            </w:r>
          </w:p>
        </w:tc>
      </w:tr>
      <w:tr>
        <w:trPr>
          <w:trHeight w:val="208"/>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5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45.7</w:t>
            </w:r>
          </w:p>
        </w:tc>
      </w:tr>
      <w:tr>
        <w:trPr>
          <w:trHeight w:val="204"/>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5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8.0</w:t>
            </w:r>
          </w:p>
        </w:tc>
      </w:tr>
      <w:tr>
        <w:trPr>
          <w:trHeight w:val="19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10"/>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15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5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3.2</w:t>
            </w:r>
          </w:p>
        </w:tc>
      </w:tr>
      <w:tr>
        <w:trPr>
          <w:trHeight w:val="215"/>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15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(0.6)</w:t>
            </w:r>
          </w:p>
        </w:tc>
      </w:tr>
      <w:tr>
        <w:trPr>
          <w:trHeight w:val="210"/>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(88.5)</w:t>
            </w:r>
          </w:p>
        </w:tc>
      </w:tr>
      <w:tr>
        <w:trPr>
          <w:trHeight w:val="208"/>
        </w:trPr>
        <w:tc>
          <w:tcPr>
            <w:tcW w:w="802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54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(85.9)</w:t>
            </w:r>
          </w:p>
        </w:tc>
      </w:tr>
      <w:tr>
        <w:trPr>
          <w:trHeight w:val="204"/>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5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7"/>
                <w:szCs w:val="17"/>
                <w:color w:val="auto"/>
              </w:rPr>
            </w:pPr>
          </w:p>
        </w:tc>
        <w:tc>
          <w:tcPr>
            <w:tcW w:w="15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(77.9)</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5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(1.1)</w:t>
            </w:r>
          </w:p>
        </w:tc>
      </w:tr>
      <w:tr>
        <w:trPr>
          <w:trHeight w:val="208"/>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w:t>
            </w:r>
          </w:p>
        </w:tc>
      </w:tr>
      <w:tr>
        <w:trPr>
          <w:trHeight w:val="20"/>
        </w:trPr>
        <w:tc>
          <w:tcPr>
            <w:tcW w:w="80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January 2, 2026 to the Three Months Ended January 3, 2025</w:t>
      </w:r>
    </w:p>
    <w:p>
      <w:pPr>
        <w:spacing w:after="0" w:line="11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Our revenue increased by $53.5 million, or 24.5%, to $271.6 million for the three months ended January 2, 2026, from $218.1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January 3, 2025. The increase in revenue in the three months ended January 2, 2026 is described by end market in the following paragraphs.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27" w:name="page28"/>
    <w:bookmarkEnd w:id="27"/>
    <w:p>
      <w:pPr>
        <w:jc w:val="both"/>
        <w:ind w:firstLine="319"/>
        <w:spacing w:after="0" w:line="265" w:lineRule="auto"/>
        <w:rPr>
          <w:sz w:val="20"/>
          <w:szCs w:val="20"/>
          <w:color w:val="auto"/>
        </w:rPr>
      </w:pPr>
      <w:r>
        <w:rPr>
          <w:rFonts w:ascii="Times New Roman" w:cs="Times New Roman" w:eastAsia="Times New Roman" w:hAnsi="Times New Roman"/>
          <w:sz w:val="18"/>
          <w:szCs w:val="18"/>
          <w:color w:val="auto"/>
        </w:rPr>
        <w:t>Revenue from our primary markets, the percentage of change between the periods presented, and revenue by primary markets expressed as a percentage of total revenue in the periods presented were (in thousands, except percentages):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4"/>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00" w:type="dxa"/>
            <w:vAlign w:val="bottom"/>
            <w:vMerge w:val="restart"/>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28"/>
        </w:trPr>
        <w:tc>
          <w:tcPr>
            <w:tcW w:w="6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60" w:type="dxa"/>
            <w:vAlign w:val="bottom"/>
            <w:gridSpan w:val="2"/>
          </w:tcPr>
          <w:p>
            <w:pPr>
              <w:ind w:left="260"/>
              <w:spacing w:after="0" w:line="128"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360" w:type="dxa"/>
            <w:vAlign w:val="bottom"/>
          </w:tcPr>
          <w:p>
            <w:pPr>
              <w:spacing w:after="0"/>
              <w:rPr>
                <w:sz w:val="11"/>
                <w:szCs w:val="11"/>
                <w:color w:val="auto"/>
              </w:rPr>
            </w:pPr>
          </w:p>
        </w:tc>
        <w:tc>
          <w:tcPr>
            <w:tcW w:w="1340" w:type="dxa"/>
            <w:vAlign w:val="bottom"/>
          </w:tcPr>
          <w:p>
            <w:pPr>
              <w:jc w:val="right"/>
              <w:ind w:right="342"/>
              <w:spacing w:after="0" w:line="128"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65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Borders>
              <w:bottom w:val="single" w:sz="8" w:color="CCEEFF"/>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 &amp; Defense</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117,713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20.9 %</w:t>
            </w:r>
          </w:p>
        </w:tc>
        <w:tc>
          <w:tcPr>
            <w:tcW w:w="0" w:type="dxa"/>
            <w:vAlign w:val="bottom"/>
          </w:tcPr>
          <w:p>
            <w:pPr>
              <w:spacing w:after="0"/>
              <w:rPr>
                <w:sz w:val="1"/>
                <w:szCs w:val="1"/>
                <w:color w:val="auto"/>
              </w:rPr>
            </w:pPr>
          </w:p>
        </w:tc>
      </w:tr>
      <w:tr>
        <w:trPr>
          <w:trHeight w:val="210"/>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Data Center</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65,284</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31.4 %</w:t>
            </w:r>
          </w:p>
        </w:tc>
        <w:tc>
          <w:tcPr>
            <w:tcW w:w="0" w:type="dxa"/>
            <w:vAlign w:val="bottom"/>
          </w:tcPr>
          <w:p>
            <w:pPr>
              <w:spacing w:after="0"/>
              <w:rPr>
                <w:sz w:val="1"/>
                <w:szCs w:val="1"/>
                <w:color w:val="auto"/>
              </w:rPr>
            </w:pPr>
          </w:p>
        </w:tc>
      </w:tr>
      <w:tr>
        <w:trPr>
          <w:trHeight w:val="21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Telecom</w:t>
            </w: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68,145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22.9 %</w:t>
            </w:r>
          </w:p>
        </w:tc>
        <w:tc>
          <w:tcPr>
            <w:tcW w:w="0" w:type="dxa"/>
            <w:vAlign w:val="bottom"/>
          </w:tcPr>
          <w:p>
            <w:pPr>
              <w:spacing w:after="0"/>
              <w:rPr>
                <w:sz w:val="1"/>
                <w:szCs w:val="1"/>
                <w:color w:val="auto"/>
              </w:rPr>
            </w:pPr>
          </w:p>
        </w:tc>
      </w:tr>
      <w:tr>
        <w:trPr>
          <w:trHeight w:val="208"/>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271,612</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218,122</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24.5 %</w:t>
            </w: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Industrial &amp; Defense</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44.7 %</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Data Center</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29.9 %</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Telecom</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25.1 %</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25.4 %</w:t>
            </w:r>
          </w:p>
        </w:tc>
        <w:tc>
          <w:tcPr>
            <w:tcW w:w="1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In the three months ended January 2, 2026, our I&amp;D market revenue increased by $20.3 million, or 20.9%, compared to the three months ended January 3, 2025. The increase in the three months ended January 2, 2026 was primarily driven by revenue growth from defense programs.</w:t>
      </w:r>
    </w:p>
    <w:p>
      <w:pPr>
        <w:spacing w:after="0" w:line="5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In the three months ended January 2, 2026, our Data Center market revenue increased by $20.5 million, or 31.4%, compared to the three months ended January 3, 2025. The increase in the three months ended January 2, 2026 was primarily driven by higher sales of high-performance analog, coherent and lightwave Data Center products primarily supporting high speed data rates from 100G to 1.6T.</w:t>
      </w:r>
    </w:p>
    <w:p>
      <w:pPr>
        <w:spacing w:after="0" w:line="71"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In the three months ended January 2, 2026, our Telecom market revenue increased by $12.7 million, or 22.9%, compared to the three months ended January 3, 2025. The increase in the three months ended January 2, 2026 was primarily driven by higher sales of products for 5G, broadband access and SATCOM applications.</w:t>
      </w:r>
    </w:p>
    <w:p>
      <w:pPr>
        <w:spacing w:after="0" w:line="71"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Certain areas of our end markets continue to be negatively impacted by macroeconomic and geopolitical conditions, which we expect may result in weaker near-term demand for our products across all three of our primary markets. In addition, we could be negatively affected by any weakening of global economic conditions, including as a result of the evolving impacts from tariffs, sanctions, obtaining required licenses or other trade tensions (including implementation of new tariffs or retaliatory trade measures).</w:t>
      </w:r>
    </w:p>
    <w:p>
      <w:pPr>
        <w:spacing w:after="0" w:line="75" w:lineRule="exact"/>
        <w:rPr>
          <w:sz w:val="20"/>
          <w:szCs w:val="20"/>
          <w:color w:val="auto"/>
        </w:rPr>
      </w:pPr>
    </w:p>
    <w:p>
      <w:pPr>
        <w:jc w:val="both"/>
        <w:ind w:firstLine="3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margin was 55.9% and 53.7% for the three months ended January 2, 2026 and January 3, 2025, respectively. Gross profit increased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$34.7 million, or 29.6%, to $151.8 million, or 55.9% of our revenue, for the three months ended January 2, 2026, compared to $117.1 million, or 53.7% of our revenue, for the three months ended January 3, 2025. Gross profit increased primarily as a result of higher sales, lower intangible asset amortization and share-based compensation expense, partially offset by increases in employee-related costs, due to additional headcount from the RTP Fab, and higher maintenance expense.</w:t>
      </w:r>
    </w:p>
    <w:p>
      <w:pPr>
        <w:spacing w:after="0" w:line="73"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 increased by $6.1 million, or 10.1%, to $66.5 million, or 24.5% of our revenue,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January 2, 2026, compared to $60.4 million, or 27.7% of our revenue, for the three months ended January 3, 2025. Research and development expense increased in the three months ended January 2, 2026 primarily due to employee-related costs, including increases in headcount, and depreciation expense.</w:t>
      </w:r>
    </w:p>
    <w:p>
      <w:pPr>
        <w:spacing w:after="0" w:line="73"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 increased by $2.8 million or 7.2%, to $42.0 million or 15.5%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in the three months ended January 2, 2026, compared to $39.2 million, or 18.0% of our revenue, for the three months ended January 3, 2025. Selling, general, and administrative expense increased in the three months ended January 2, 2026 primarily due to an increase in employee-related costs, partially offset by lower intangible asset amortization.</w:t>
      </w:r>
    </w:p>
    <w:p>
      <w:pPr>
        <w:spacing w:after="0" w:line="73" w:lineRule="exact"/>
        <w:rPr>
          <w:sz w:val="20"/>
          <w:szCs w:val="20"/>
          <w:color w:val="auto"/>
        </w:rPr>
      </w:pPr>
    </w:p>
    <w:p>
      <w:pPr>
        <w:jc w:val="both"/>
        <w:ind w:firstLine="31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 the three months ended January 2, 2026, interest income was $8.0 million, compared to $7.0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3, 2025. The increase for the three months ended January 2, 2026 is primarily due to an increase in short-term investments.</w:t>
      </w:r>
    </w:p>
    <w:p>
      <w:pPr>
        <w:spacing w:after="0" w:line="53" w:lineRule="exact"/>
        <w:rPr>
          <w:sz w:val="20"/>
          <w:szCs w:val="20"/>
          <w:color w:val="auto"/>
        </w:rPr>
      </w:pPr>
    </w:p>
    <w:p>
      <w:pPr>
        <w:jc w:val="both"/>
        <w:ind w:firstLine="31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w:t>
      </w:r>
      <w:r>
        <w:rPr>
          <w:rFonts w:ascii="Times New Roman" w:cs="Times New Roman" w:eastAsia="Times New Roman" w:hAnsi="Times New Roman"/>
          <w:sz w:val="18"/>
          <w:szCs w:val="18"/>
          <w:color w:val="auto"/>
        </w:rPr>
        <w:t>In the three months ended January 3, 2025, we recognized a $193.1 million loss on exchange of our 2026 Convertible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Notes. See </w:t>
      </w:r>
      <w:r>
        <w:rPr>
          <w:rFonts w:ascii="Times New Roman" w:cs="Times New Roman" w:eastAsia="Times New Roman" w:hAnsi="Times New Roman"/>
          <w:sz w:val="18"/>
          <w:szCs w:val="18"/>
          <w:i w:val="1"/>
          <w:iCs w:val="1"/>
          <w:color w:val="auto"/>
        </w:rPr>
        <w:t>Note 10 - Debt</w:t>
      </w:r>
      <w:r>
        <w:rPr>
          <w:rFonts w:ascii="Times New Roman" w:cs="Times New Roman" w:eastAsia="Times New Roman" w:hAnsi="Times New Roman"/>
          <w:sz w:val="18"/>
          <w:szCs w:val="18"/>
          <w:color w:val="auto"/>
        </w:rPr>
        <w:t xml:space="preserve"> to our condensed consolidated financial statements in this Quarterly Report on Form 10-Q for additional information.</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8" w:name="page29"/>
    <w:bookmarkEnd w:id="28"/>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Our income tax expense and effective income tax rates for the periods indicated were (in thousands, except percentages):</w:t>
      </w:r>
    </w:p>
    <w:p>
      <w:pPr>
        <w:spacing w:after="0" w:line="147" w:lineRule="exact"/>
        <w:rPr>
          <w:sz w:val="20"/>
          <w:szCs w:val="20"/>
          <w:color w:val="auto"/>
        </w:rPr>
      </w:pPr>
    </w:p>
    <w:tbl>
      <w:tblPr>
        <w:tblLayout w:type="fixed"/>
        <w:tblInd w:w="36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3180" w:type="dxa"/>
            <w:vAlign w:val="bottom"/>
            <w:gridSpan w:val="5"/>
          </w:tcPr>
          <w:p>
            <w:pPr>
              <w:jc w:val="right"/>
              <w:ind w:right="86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4"/>
        </w:trPr>
        <w:tc>
          <w:tcPr>
            <w:tcW w:w="76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28"/>
        </w:trPr>
        <w:tc>
          <w:tcPr>
            <w:tcW w:w="7660" w:type="dxa"/>
            <w:vAlign w:val="bottom"/>
          </w:tcPr>
          <w:p>
            <w:pPr>
              <w:spacing w:after="0"/>
              <w:rPr>
                <w:sz w:val="11"/>
                <w:szCs w:val="11"/>
                <w:color w:val="auto"/>
              </w:rPr>
            </w:pPr>
          </w:p>
        </w:tc>
        <w:tc>
          <w:tcPr>
            <w:tcW w:w="1100" w:type="dxa"/>
            <w:vAlign w:val="bottom"/>
          </w:tcPr>
          <w:p>
            <w:pPr>
              <w:jc w:val="center"/>
              <w:ind w:left="347"/>
              <w:spacing w:after="0" w:line="128"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jc w:val="center"/>
              <w:ind w:right="205"/>
              <w:spacing w:after="0" w:line="128" w:lineRule="exact"/>
              <w:rPr>
                <w:sz w:val="20"/>
                <w:szCs w:val="20"/>
                <w:color w:val="auto"/>
              </w:rPr>
            </w:pPr>
            <w:r>
              <w:rPr>
                <w:rFonts w:ascii="Times New Roman" w:cs="Times New Roman" w:eastAsia="Times New Roman" w:hAnsi="Times New Roman"/>
                <w:sz w:val="14"/>
                <w:szCs w:val="14"/>
                <w:b w:val="1"/>
                <w:bCs w:val="1"/>
                <w:color w:val="auto"/>
              </w:rPr>
              <w:t>January 3,</w:t>
            </w:r>
          </w:p>
        </w:tc>
      </w:tr>
      <w:tr>
        <w:trPr>
          <w:trHeight w:val="192"/>
        </w:trPr>
        <w:tc>
          <w:tcPr>
            <w:tcW w:w="76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1"/>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100" w:type="dxa"/>
            <w:vAlign w:val="bottom"/>
            <w:shd w:val="clear" w:color="auto" w:fill="CCEEFF"/>
          </w:tcPr>
          <w:p>
            <w:pPr>
              <w:jc w:val="right"/>
              <w:ind w:right="927"/>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1"/>
              </w:rPr>
              <w:t>822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(2,407)</w:t>
            </w:r>
          </w:p>
        </w:tc>
      </w:tr>
      <w:tr>
        <w:trPr>
          <w:trHeight w:val="208"/>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r>
    </w:tbl>
    <w:p>
      <w:pPr>
        <w:spacing w:after="0" w:line="185"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Our estimated annual effective tax rate for the fiscal year ending October 2, 2026 is expected to be approximately 16.2%, which reflects the statutory rate adjusted for expected tax credits, primarily for R&amp;D. This effective tax rate does not reflect the adjustment for any discrete tax matters arising during the year, such as the excess deduction related to share-based compensation. The actual effective income tax rate for the quarter ended January 2, 2026 was reduced by excess tax benefits related to share-based compensation.</w:t>
      </w:r>
    </w:p>
    <w:p>
      <w:pPr>
        <w:spacing w:after="0" w:line="77" w:lineRule="exact"/>
        <w:rPr>
          <w:sz w:val="20"/>
          <w:szCs w:val="20"/>
          <w:color w:val="auto"/>
        </w:rPr>
      </w:pPr>
    </w:p>
    <w:p>
      <w:pPr>
        <w:ind w:right="300" w:firstLine="319"/>
        <w:spacing w:after="0" w:line="275" w:lineRule="auto"/>
        <w:rPr>
          <w:sz w:val="20"/>
          <w:szCs w:val="20"/>
          <w:color w:val="auto"/>
        </w:rPr>
      </w:pPr>
      <w:r>
        <w:rPr>
          <w:rFonts w:ascii="Times New Roman" w:cs="Times New Roman" w:eastAsia="Times New Roman" w:hAnsi="Times New Roman"/>
          <w:sz w:val="18"/>
          <w:szCs w:val="18"/>
          <w:color w:val="auto"/>
        </w:rPr>
        <w:t>The effective income tax rate for the quarter ended January 3, 2025 was impacted by the non-deductibility of the charge for extinguishment of debt as well as excess tax benefits related to share-based compensation.</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For additional information refer to </w:t>
      </w:r>
      <w:r>
        <w:rPr>
          <w:rFonts w:ascii="Times New Roman" w:cs="Times New Roman" w:eastAsia="Times New Roman" w:hAnsi="Times New Roman"/>
          <w:sz w:val="18"/>
          <w:szCs w:val="18"/>
          <w:i w:val="1"/>
          <w:iCs w:val="1"/>
          <w:color w:val="auto"/>
        </w:rPr>
        <w:t>Note 15 - Income Taxes</w:t>
      </w:r>
      <w:r>
        <w:rPr>
          <w:rFonts w:ascii="Times New Roman" w:cs="Times New Roman" w:eastAsia="Times New Roman" w:hAnsi="Times New Roman"/>
          <w:sz w:val="18"/>
          <w:szCs w:val="18"/>
          <w:color w:val="auto"/>
        </w:rPr>
        <w:t xml:space="preserve"> to our condensed consolidated financial statements in this Quarterly Report on Form 10-Q.</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4"/>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4"/>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January 2, 2026</w:t>
            </w:r>
          </w:p>
        </w:tc>
        <w:tc>
          <w:tcPr>
            <w:tcW w:w="140" w:type="dxa"/>
            <w:vAlign w:val="bottom"/>
          </w:tcPr>
          <w:p>
            <w:pPr>
              <w:spacing w:after="0"/>
              <w:rPr>
                <w:sz w:val="16"/>
                <w:szCs w:val="16"/>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January 3, 2025</w:t>
            </w:r>
          </w:p>
        </w:tc>
      </w:tr>
      <w:tr>
        <w:trPr>
          <w:trHeight w:val="212"/>
        </w:trPr>
        <w:tc>
          <w:tcPr>
            <w:tcW w:w="8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112,142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146,806</w:t>
            </w:r>
          </w:p>
        </w:tc>
      </w:tr>
      <w:tr>
        <w:trPr>
          <w:trHeight w:val="210"/>
        </w:trPr>
        <w:tc>
          <w:tcPr>
            <w:tcW w:w="8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42,925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66,659</w:t>
            </w:r>
          </w:p>
        </w:tc>
      </w:tr>
      <w:tr>
        <w:trPr>
          <w:trHeight w:val="215"/>
        </w:trPr>
        <w:tc>
          <w:tcPr>
            <w:tcW w:w="8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8,766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(10,227)</w:t>
            </w:r>
          </w:p>
        </w:tc>
      </w:tr>
      <w:tr>
        <w:trPr>
          <w:trHeight w:val="210"/>
        </w:trPr>
        <w:tc>
          <w:tcPr>
            <w:tcW w:w="8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30,125</w:t>
            </w:r>
          </w:p>
        </w:tc>
      </w:tr>
      <w:tr>
        <w:trPr>
          <w:trHeight w:val="212"/>
        </w:trPr>
        <w:tc>
          <w:tcPr>
            <w:tcW w:w="8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Foreign currency effect on cash</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r>
      <w:tr>
        <w:trPr>
          <w:trHeight w:val="208"/>
        </w:trPr>
        <w:tc>
          <w:tcPr>
            <w:tcW w:w="83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119,646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232,699</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156"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Our cash flow from operating activities for the three months ended January 2, 2026 of $42.9 million consisted of a net income of $48.8 million, which included non-cash charges of $36.9 million, primarily related to share-based compensation expense of $22.1 million and depreciation and intangible asset amortization expense of $15.4 million and a net increase in working capital of $42.7 million. The net increase in working capital of $42.7 million was primarily driven by a decrease in accrued and other liabilities of $19.0 million, a decrease in accounts payable of $5.1 million and by an increase in accounts receivables of $11.4 million.</w:t>
      </w:r>
    </w:p>
    <w:p>
      <w:pPr>
        <w:spacing w:after="0" w:line="104"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Our cash flow from operating activities for the three months ended January 3, 2025 of $66.7 million consisted of a net loss of $167.5 million, which included non-cash charges of $225.3 million, primarily related to loss on extinguishment of debt of $193.1 million, share-based compensation expense of $25.5 million and depreciation and intangible asset amortization expense of $16.0 million, and a net decrease to working capital of $8.9 million. The net decrease in working capital of $8.9 million was primarily driven by a decrease in accounts receivables of $14.9 million, partially offset by an increase in inventories of $4.6 million. The decrease in accounts receivable is primarily due to improved revenue linearity during the three months ended January 3, 2025.</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 from Investing Activities</w:t>
      </w:r>
    </w:p>
    <w:p>
      <w:pPr>
        <w:spacing w:after="0" w:line="116"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Our cash flow provided by investing activities for the three months ended January 2, 2026 of $8.8 million consisted primarily of proceeds of $71.4 million for the sale and maturity of short term investments, offset by purchases of $45.7 million of short-term investments, capital expenditures of $12.9 million and purchases of software licenses of $4.3 million.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29" w:name="page30"/>
    <w:bookmarkEnd w:id="29"/>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 xml:space="preserve">Our cash flow used in investing activities for the three months ended January 3, 2025 of $10.2 million consisted primarily of cash paid for acquisitions, net of cash acquired of $12.5 million for acquisitions, capital expenditures of $5.3 million and purchases of $61.4 million of short-term investments and purchases of software licenses of $6.1 million, offset by proceeds of $72.4 million for the sale and maturity of short-term investments and other investing activity of $2.7 million. For additional information on the consideration paid for our acquisitions, see </w:t>
      </w:r>
      <w:r>
        <w:rPr>
          <w:rFonts w:ascii="Times New Roman" w:cs="Times New Roman" w:eastAsia="Times New Roman" w:hAnsi="Times New Roman"/>
          <w:sz w:val="18"/>
          <w:szCs w:val="18"/>
          <w:i w:val="1"/>
          <w:iCs w:val="1"/>
          <w:color w:val="auto"/>
        </w:rPr>
        <w:t>Note 3 - Acquisitions</w:t>
      </w:r>
      <w:r>
        <w:rPr>
          <w:rFonts w:ascii="Times New Roman" w:cs="Times New Roman" w:eastAsia="Times New Roman" w:hAnsi="Times New Roman"/>
          <w:sz w:val="18"/>
          <w:szCs w:val="18"/>
          <w:color w:val="auto"/>
        </w:rPr>
        <w:t xml:space="preserve"> to our condensed consolidated financial statements in this Quarterly Report on Form 10-Q.</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Financing Activities</w:t>
      </w:r>
    </w:p>
    <w:p>
      <w:pPr>
        <w:spacing w:after="0" w:line="116"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During the three months ended January 2, 2026, our cash used in financing activities of $44.2 million was primarily related to $47.9 million of common stock withheld associated with employee taxes on vested equity awards, partially offset by $5.2 million of proceeds from stock option exercises and employee stock purchases.</w:t>
      </w:r>
    </w:p>
    <w:p>
      <w:pPr>
        <w:spacing w:after="0" w:line="71"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During the three months ended January 3, 2025, our cash provided by financing activities of $30.1 million was primarily related to $86.6 million of proceeds from convertible notes and $4.5 million of proceeds from stock option exercises and employee stock purchases, partially offset by $37.9 million of common stock withheld associated with employee taxes on vested equity awards and $22.9 million of fees for the convertible note exchange and payments for debt issuance costs.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14"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As of January 2, 2026, we held $119.6 million of cash and cash equivalents, primarily deposited with financial institutions, as well as $648.8 million of liquid short-term investments. The undistributed earnings of certain foreign subsidiaries are considered indefinitely reinvested for the periods presented and we do not intend to repatriate such earnings. We believe the decision to reinvest these earnings will not have a significant impact on our liquidity. As of January 2, 2026, cash held by our indefinitely reinvested foreign subsidiaries was $5.7 million, which, along with cash generated from foreign operations, is expected to be used in the support of international growth and working capital requirements as well as the repayment of certain intercompany loans.</w:t>
      </w:r>
    </w:p>
    <w:p>
      <w:pPr>
        <w:spacing w:after="0" w:line="78"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 xml:space="preserve">Holders of the 2026 Convertible Notes were able to convert their notes prior to maturity, under certain conditions. In September 2025, holders exercised their right to convert $0.5 million of the notes. The transaction settled during the three months ended January 2, 2026 and we paid $0.5 million principal in cash and issued 2,610 shares of our common stock for the conversion premium. On or after December 15, 2025, holders of our 2026 Convertible Notes may convert their notes at their option at any time in multiples of $1,000 principal amount. As of December 15, 2025, we elected combination settlement, paying the principal in cash and settling the conversion premium in shares, for all future conversions. Conversion notices received on or after December 15, 2025 will be settled upon maturity of the 2026 Convertible Notes. We expect to pay down the principal of the 2026 Convertible Notes at maturity using cash and short-term investments on hand. For additional information on the 2026 Convertible Notes, see </w:t>
      </w:r>
      <w:r>
        <w:rPr>
          <w:rFonts w:ascii="Times New Roman" w:cs="Times New Roman" w:eastAsia="Times New Roman" w:hAnsi="Times New Roman"/>
          <w:sz w:val="18"/>
          <w:szCs w:val="18"/>
          <w:i w:val="1"/>
          <w:iCs w:val="1"/>
          <w:color w:val="auto"/>
        </w:rPr>
        <w:t>Note 10 - Debt</w:t>
      </w:r>
      <w:r>
        <w:rPr>
          <w:rFonts w:ascii="Times New Roman" w:cs="Times New Roman" w:eastAsia="Times New Roman" w:hAnsi="Times New Roman"/>
          <w:sz w:val="18"/>
          <w:szCs w:val="18"/>
          <w:color w:val="auto"/>
        </w:rPr>
        <w:t xml:space="preserve"> to our condensed consolidated financial statements in this Quarterly Report on Form 10-Q.</w:t>
      </w:r>
    </w:p>
    <w:p>
      <w:pPr>
        <w:spacing w:after="0" w:line="8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On January 14, 2025, we announced the execution of a preliminary, non-binding agreement with the CHIPS Program Office, which could provide for proposed direct funding from the U.S. Department of Commerce under the CHIPS Act of up to $70 million.</w:t>
      </w:r>
    </w:p>
    <w:p>
      <w:pPr>
        <w:spacing w:after="0" w:line="5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plan to use our remaining available cash and cash equivalents and short-term investments for general corporate purposes, including working capital, payment on the 2026 Convertible Notes and 2029 Convertible Notes, or for the acquisition of or investment in complementary technologies, design teams, products and businesses. We believe that our cash and cash equivalents, short-term investments and cash generated from operations will be sufficient to meet our working capital requirements for at least the next twelve months. We may need to raise additional capital from time to time through the issuance and sale of equity or debt securities, and there is no assurance that we will be able to do so on favorable terms or at all.</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January 2, 2026, we had no off-balance sheet arrangements.</w:t>
      </w:r>
    </w:p>
    <w:p>
      <w:pPr>
        <w:spacing w:after="0" w:line="110" w:lineRule="exact"/>
        <w:rPr>
          <w:sz w:val="20"/>
          <w:szCs w:val="20"/>
          <w:color w:val="auto"/>
        </w:rPr>
      </w:pPr>
    </w:p>
    <w:p>
      <w:pPr>
        <w:jc w:val="both"/>
        <w:ind w:firstLine="319"/>
        <w:spacing w:after="0" w:line="277"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Liquidity and Capital Resources, see </w:t>
      </w:r>
      <w:r>
        <w:rPr>
          <w:rFonts w:ascii="Times New Roman" w:cs="Times New Roman" w:eastAsia="Times New Roman" w:hAnsi="Times New Roman"/>
          <w:sz w:val="18"/>
          <w:szCs w:val="18"/>
          <w:i w:val="1"/>
          <w:iCs w:val="1"/>
          <w:color w:val="auto"/>
        </w:rPr>
        <w:t>Note 10 - Debt</w:t>
      </w:r>
      <w:r>
        <w:rPr>
          <w:rFonts w:ascii="Times New Roman" w:cs="Times New Roman" w:eastAsia="Times New Roman" w:hAnsi="Times New Roman"/>
          <w:sz w:val="18"/>
          <w:szCs w:val="18"/>
          <w:color w:val="auto"/>
        </w:rPr>
        <w:t xml:space="preserve"> to our condensed consolidated financial statements in this Quarterly Report on Form 10-Q.</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2" w:lineRule="exact"/>
        <w:rPr>
          <w:sz w:val="20"/>
          <w:szCs w:val="20"/>
          <w:color w:val="auto"/>
        </w:rPr>
      </w:pPr>
    </w:p>
    <w:p>
      <w:pPr>
        <w:jc w:val="both"/>
        <w:ind w:firstLine="319"/>
        <w:spacing w:after="0" w:line="27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1 - Basis of Presentation and Summary of Significant Accounting Policies</w:t>
      </w:r>
      <w:r>
        <w:rPr>
          <w:rFonts w:ascii="Times New Roman" w:cs="Times New Roman" w:eastAsia="Times New Roman" w:hAnsi="Times New Roman"/>
          <w:sz w:val="18"/>
          <w:szCs w:val="18"/>
          <w:color w:val="auto"/>
        </w:rPr>
        <w:t xml:space="preserve"> to our condensed consolidated financial statements in this Quarterly Report on Form 10-Q for information about recent accounting pronouncements.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We are exposed to market risk in the ordinary course of business, which consists primarily of interest rate risk associated with our cash and cash equivalents and short-term investments, as well as foreign exchange rate risk.</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0" w:name="page31"/>
    <w:bookmarkEnd w:id="30"/>
    <w:p>
      <w:pPr>
        <w:jc w:val="both"/>
        <w:ind w:firstLine="31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The primary objectives of our investment activity are to preserve principal, provide liquidity and invest excess cash for an average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return. To minimize market risk, we maintain our portfolio in cash and diversified investments, which may consist of corporate bonds, bank deposits, money market funds, commercial paper and U.S. Treasury securities. The interest rates are variable and fluctuate with current market conditions. The risk associated with fluctuating interest rates is limited to this investment portfolio. We believe that a 1% change in interest rates would have a $7.7 million impact on our annual interest income, based on cash and cash equivalents and short-term investments balances as of January 2, 2026. We believe that a change in interest rates would not have a material impact on our results of operations, however, such change(s) could impact net income and earnings per share. We do not enter into financial instruments for trading or speculative purposes.</w:t>
      </w:r>
    </w:p>
    <w:p>
      <w:pPr>
        <w:spacing w:after="0" w:line="78"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Foreign currency risk. </w:t>
      </w:r>
      <w:r>
        <w:rPr>
          <w:rFonts w:ascii="Times New Roman" w:cs="Times New Roman" w:eastAsia="Times New Roman" w:hAnsi="Times New Roman"/>
          <w:sz w:val="18"/>
          <w:szCs w:val="18"/>
          <w:color w:val="auto"/>
        </w:rPr>
        <w:t>To date, our international customer agreements have been denominated primarily in U.S. dollars. Accordingly, we have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exposure to foreign currency exchange rates. The functional currency of a majority of our foreign operations continues to be in U.S. dollars with the remaining operations being local currency. Changes in the value of the U.S. dollar relative to other currencies could make our products more expensive, which could negatively impact demand in certain regions, reduce or delay customer orders, or otherwise negatively affect how customers do business with us. The effects of exchange rate fluctuations on the net assets of the majority of our operations are accounted for as transaction gains or losses. We believe that a change of 10% in such foreign currency exchange rates would not have a material impact on our financial position or results of operations.</w:t>
      </w:r>
    </w:p>
    <w:p>
      <w:pPr>
        <w:spacing w:after="0" w:line="7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 xml:space="preserve">We have entered into foreign currency exchange hedging contracts to reduce the impact of foreign currency changes on certain intercompany foreign currency denominated debt. These foreign currency forward contracts are entered into for periods consistent with currency transaction exposures, generally one month. They are not designated as cash flow or fair value hedges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These forward contracts are marked-to-market with changes in fair value recorded to earnings. As of January 2, 2026, we had $47.0 million in notional forward foreign currency contracts, which were denominated in Euro and Yen. The fair value of these forward contracts is immaterial as of January 2, 2026.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0"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we carried out an evaluation of the effectiveness of the design and operation of our disclosure controls and procedures (as defined in Rule 13a-15(e) under the Securities Exchange Act of 1934, as amended (the “Exchange Act”)). Based on this evaluation, our Chief Executive Officer and Chief Financial Officer concluded that our disclosure controls and procedures (as defined in Exchange Act Rules 13a-15(e) and 15d-15(e)) were effective as of January 2, 2026.</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(as defined in Rules 13a-15(f) and 15d-15(f) of the Exchange Act) that occurred during our most recent fiscal quarter that have materially affected, or are reasonably likely to materially affect, our internal control over financial reporting.</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Controls</w:t>
      </w:r>
    </w:p>
    <w:p>
      <w:pPr>
        <w:spacing w:after="0" w:line="87"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2" w:lineRule="exact"/>
        <w:rPr>
          <w:sz w:val="20"/>
          <w:szCs w:val="20"/>
          <w:color w:val="auto"/>
        </w:rPr>
      </w:pPr>
    </w:p>
    <w:p>
      <w:pPr>
        <w:jc w:val="both"/>
        <w:ind w:firstLine="319"/>
        <w:spacing w:after="0" w:line="27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13 - Commitments and Contingencies</w:t>
      </w:r>
      <w:r>
        <w:rPr>
          <w:rFonts w:ascii="Times New Roman" w:cs="Times New Roman" w:eastAsia="Times New Roman" w:hAnsi="Times New Roman"/>
          <w:sz w:val="18"/>
          <w:szCs w:val="18"/>
          <w:color w:val="auto"/>
        </w:rPr>
        <w:t xml:space="preserve"> to our condensed consolidated financial statements in this Quarterly Report on Form 10-Q for information about our legal proceedings.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7"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Our business involves a high degree of risk. In addition to the other information set forth in this Quarterly Report on Form 10-Q, you should carefully consider the factors discussed in Part I, “Item 1A. Risk Factors” in our 2025 Annual Report on Form 10-K, which could materially affect our business, financial condition or future results. As of the date of this Quarterly Report on Form 10-Q, there have been no material changes in any of the risk factors described in our 2025 Annual Report on Form 10-K, except as noted below.</w:t>
      </w:r>
    </w:p>
    <w:p>
      <w:pPr>
        <w:spacing w:after="0" w:line="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internal and external manufacturing, assembly and test model subjects us to various manufacturing and supply risks.</w:t>
      </w:r>
    </w:p>
    <w:p>
      <w:pPr>
        <w:spacing w:after="0" w:line="102" w:lineRule="exact"/>
        <w:rPr>
          <w:sz w:val="20"/>
          <w:szCs w:val="20"/>
          <w:color w:val="auto"/>
        </w:rPr>
      </w:pPr>
    </w:p>
    <w:p>
      <w:pPr>
        <w:jc w:val="both"/>
        <w:ind w:firstLine="319"/>
        <w:spacing w:after="0" w:line="247" w:lineRule="auto"/>
        <w:rPr>
          <w:sz w:val="20"/>
          <w:szCs w:val="20"/>
          <w:color w:val="auto"/>
        </w:rPr>
      </w:pPr>
      <w:r>
        <w:rPr>
          <w:rFonts w:ascii="Times New Roman" w:cs="Times New Roman" w:eastAsia="Times New Roman" w:hAnsi="Times New Roman"/>
          <w:sz w:val="18"/>
          <w:szCs w:val="18"/>
          <w:color w:val="auto"/>
        </w:rPr>
        <w:t>We operate leased semiconductor wafer processing and manufacturing facilities at our headquarters in Lowell, Massachusetts, and at our Ann Arbor, Michigan, RTP, North Carolina and Limeil-Brévannes, France sites. These facilities are also important internal design, assembly and test facilities. We maintain other internal assembly and test operation facilities as well, including leased sites in Hamilton, New Jersey, Morgan Hill, California, Nashua, New Hampshire, and Hsinchu, Taiwan. We also use multiple external foundries for outsourced semiconductor wafer supply, as well as multiple domestic and Asian assembly and test suppliers to assemble and test our products. A number of factors will affect the future success of these internal manufacturing facilities and outsourced supply and service arrangements, including the level of demand for our products; our ability to expand and contract our facilities and purchase commitments in a timely and cost-effective manner; our ability to generate revenue in amounts that cover the significant fixed costs of operating our facilities; our ability to qualify our facilities for new products and process technologies in a timely manner and avoid complications; the availability of raw materials; the availability and continued operation of key equipment; our manufacturing cycle times and yields; political and economic risks; the occurrence of natural disasters, pandemics, acts of terrorism, armed conflicts or unrest impacting our facilities and those of our outsourced suppliers; our ability to hire, train, manage and retain qualified production personnel; our compliance with applicable environmental and other laws and regulations; our ability to avoid prolonged periods of downtime or high levels of scrap in our and our suppliers’ facilities for any reason; and our ability to negotiate renewals to our existing lease agreements on favorable terms and without disruption to our wafer processing and manufacturing and internal assembly and test operations at our sites where such activities take place. In addition, certain of our manufacturing operations require a continuous supply of critical materials, including various precious metals, exotic gases and chemicals, wafer substrate materials such as silicon, gallium arsenide (GaAs), gallium nitride (GaN), silicon carbide (SiC), indium phosphide (InP), and high-purity source materials such as gallium, germanium, arsenic, indium, aluminum, which we obtain from a limited number of qualified suppliers. The availability of these materials could become constrained due to increased global demand and limited global production capacity, geopolitical factors, supply chain disruptions and export control restrictions imposed by domestic or foreign governments. Any shortage, export restriction or license denial, extended lead times, price increases or quality issues with these materials could delay our production, increase our costs and prevent us from fulfilling customer orders. The effectiveness of our supply chain could be adversely affected by such issues and have a material adverse effect on our business, financial condition and results of operations.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purchases of common stock we made during the fiscal quarter ended January 2, 2026.</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4"/>
        </w:trPr>
        <w:tc>
          <w:tcPr>
            <w:tcW w:w="37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Number of Shares (or Units)</w:t>
            </w:r>
          </w:p>
        </w:tc>
        <w:tc>
          <w:tcPr>
            <w:tcW w:w="19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1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360" w:type="dxa"/>
            <w:vAlign w:val="bottom"/>
            <w:gridSpan w:val="2"/>
            <w:vMerge w:val="continue"/>
          </w:tcPr>
          <w:p>
            <w:pPr>
              <w:spacing w:after="0"/>
              <w:rPr>
                <w:sz w:val="11"/>
                <w:szCs w:val="11"/>
                <w:color w:val="auto"/>
              </w:rPr>
            </w:pPr>
          </w:p>
        </w:tc>
        <w:tc>
          <w:tcPr>
            <w:tcW w:w="19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Shares (or Units) that May Yet</w:t>
            </w:r>
          </w:p>
        </w:tc>
        <w:tc>
          <w:tcPr>
            <w:tcW w:w="0" w:type="dxa"/>
            <w:vAlign w:val="bottom"/>
          </w:tcPr>
          <w:p>
            <w:pPr>
              <w:spacing w:after="0"/>
              <w:rPr>
                <w:sz w:val="1"/>
                <w:szCs w:val="1"/>
                <w:color w:val="auto"/>
              </w:rPr>
            </w:pPr>
          </w:p>
        </w:tc>
      </w:tr>
      <w:tr>
        <w:trPr>
          <w:trHeight w:val="144"/>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8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236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9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Be Purchased Under the Plans</w:t>
            </w:r>
          </w:p>
        </w:tc>
        <w:tc>
          <w:tcPr>
            <w:tcW w:w="0" w:type="dxa"/>
            <w:vAlign w:val="bottom"/>
          </w:tcPr>
          <w:p>
            <w:pPr>
              <w:spacing w:after="0"/>
              <w:rPr>
                <w:sz w:val="1"/>
                <w:szCs w:val="1"/>
                <w:color w:val="auto"/>
              </w:rPr>
            </w:pPr>
          </w:p>
        </w:tc>
      </w:tr>
      <w:tr>
        <w:trPr>
          <w:trHeight w:val="199"/>
        </w:trPr>
        <w:tc>
          <w:tcPr>
            <w:tcW w:w="3740" w:type="dxa"/>
            <w:vAlign w:val="bottom"/>
            <w:vMerge w:val="continue"/>
          </w:tcPr>
          <w:p>
            <w:pPr>
              <w:spacing w:after="0"/>
              <w:rPr>
                <w:sz w:val="17"/>
                <w:szCs w:val="17"/>
                <w:color w:val="auto"/>
              </w:rPr>
            </w:pPr>
          </w:p>
        </w:tc>
        <w:tc>
          <w:tcPr>
            <w:tcW w:w="1780" w:type="dxa"/>
            <w:vAlign w:val="bottom"/>
            <w:gridSpan w:val="2"/>
          </w:tcPr>
          <w:p>
            <w:pPr>
              <w:jc w:val="center"/>
              <w:ind w:right="180"/>
              <w:spacing w:after="0" w:line="199" w:lineRule="exact"/>
              <w:rPr>
                <w:sz w:val="20"/>
                <w:szCs w:val="20"/>
                <w:color w:val="auto"/>
              </w:rPr>
            </w:pPr>
            <w:r>
              <w:rPr>
                <w:rFonts w:ascii="Times New Roman" w:cs="Times New Roman" w:eastAsia="Times New Roman" w:hAnsi="Times New Roman"/>
                <w:sz w:val="14"/>
                <w:szCs w:val="14"/>
                <w:b w:val="1"/>
                <w:bCs w:val="1"/>
                <w:color w:val="auto"/>
                <w:w w:val="98"/>
              </w:rPr>
              <w:t xml:space="preserve">(or Units) Purchased </w:t>
            </w:r>
            <w:r>
              <w:rPr>
                <w:rFonts w:ascii="Times New Roman" w:cs="Times New Roman" w:eastAsia="Times New Roman" w:hAnsi="Times New Roman"/>
                <w:sz w:val="18"/>
                <w:szCs w:val="18"/>
                <w:b w:val="1"/>
                <w:bCs w:val="1"/>
                <w:color w:val="auto"/>
                <w:w w:val="98"/>
                <w:vertAlign w:val="superscript"/>
              </w:rPr>
              <w:t>(1)</w:t>
            </w: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per Share (or Unit)</w:t>
            </w:r>
          </w:p>
        </w:tc>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206"/>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4, 2025-October 31, 2025</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72,643</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45"/>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143.64</w:t>
            </w:r>
          </w:p>
        </w:tc>
        <w:tc>
          <w:tcPr>
            <w:tcW w:w="16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1, 2025-November 28, 2025</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222,743</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167.06</w:t>
            </w:r>
          </w:p>
        </w:tc>
        <w:tc>
          <w:tcPr>
            <w:tcW w:w="160" w:type="dxa"/>
            <w:vAlign w:val="bottom"/>
          </w:tcPr>
          <w:p>
            <w:pPr>
              <w:spacing w:after="0"/>
              <w:rPr>
                <w:sz w:val="18"/>
                <w:szCs w:val="18"/>
                <w:color w:val="auto"/>
              </w:rPr>
            </w:pPr>
          </w:p>
        </w:tc>
        <w:tc>
          <w:tcPr>
            <w:tcW w:w="236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29, 2025-January 2, 2026</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177.73</w:t>
            </w:r>
          </w:p>
        </w:tc>
        <w:tc>
          <w:tcPr>
            <w:tcW w:w="16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306,777</w:t>
            </w:r>
          </w:p>
        </w:tc>
        <w:tc>
          <w:tcPr>
            <w:tcW w:w="16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5"/>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161.91</w:t>
            </w:r>
          </w:p>
        </w:tc>
        <w:tc>
          <w:tcPr>
            <w:tcW w:w="160" w:type="dxa"/>
            <w:vAlign w:val="bottom"/>
          </w:tcPr>
          <w:p>
            <w:pPr>
              <w:spacing w:after="0"/>
              <w:rPr>
                <w:sz w:val="17"/>
                <w:szCs w:val="17"/>
                <w:color w:val="auto"/>
              </w:rPr>
            </w:pPr>
          </w:p>
        </w:tc>
        <w:tc>
          <w:tcPr>
            <w:tcW w:w="2200" w:type="dxa"/>
            <w:vAlign w:val="bottom"/>
            <w:tcBorders>
              <w:top w:val="single" w:sz="8" w:color="auto"/>
              <w:bottom w:val="single" w:sz="8" w:color="auto"/>
            </w:tcBorders>
          </w:tcPr>
          <w:p>
            <w:pPr>
              <w:ind w:left="19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900" w:type="dxa"/>
            <w:vAlign w:val="bottom"/>
            <w:tcBorders>
              <w:top w:val="single" w:sz="8" w:color="auto"/>
              <w:bottom w:val="single" w:sz="8" w:color="auto"/>
            </w:tcBorders>
          </w:tcPr>
          <w:p>
            <w:pPr>
              <w:ind w:left="1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40" w:hanging="394"/>
        <w:spacing w:after="0" w:line="275" w:lineRule="auto"/>
        <w:tabs>
          <w:tab w:leader="none" w:pos="42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employ “withhold to cover” as a tax payment method for vesting of restricted stock awards for our employees, pursuant to which, we withheld from employees the shares noted in the table above to cover tax withholding related to the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32" w:name="page33"/>
    <w:bookmarkEnd w:id="32"/>
    <w:p>
      <w:pPr>
        <w:ind w:left="440"/>
        <w:spacing w:after="0" w:line="275" w:lineRule="auto"/>
        <w:rPr>
          <w:sz w:val="20"/>
          <w:szCs w:val="20"/>
          <w:color w:val="auto"/>
        </w:rPr>
      </w:pPr>
      <w:r>
        <w:rPr>
          <w:rFonts w:ascii="Times New Roman" w:cs="Times New Roman" w:eastAsia="Times New Roman" w:hAnsi="Times New Roman"/>
          <w:sz w:val="18"/>
          <w:szCs w:val="18"/>
          <w:color w:val="auto"/>
        </w:rPr>
        <w:t>vesting of their awards. The average prices listed in the above table are averages of the fair market prices at which we valued shares withheld for purposes of calculating the number of shares to be withheld.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0" w:lineRule="exact"/>
        <w:rPr>
          <w:sz w:val="20"/>
          <w:szCs w:val="20"/>
          <w:color w:val="auto"/>
        </w:rPr>
      </w:pPr>
    </w:p>
    <w:p>
      <w:pPr>
        <w:jc w:val="both"/>
        <w:ind w:firstLine="319"/>
        <w:spacing w:after="0"/>
        <w:rPr>
          <w:sz w:val="20"/>
          <w:szCs w:val="20"/>
          <w:color w:val="auto"/>
        </w:rPr>
      </w:pPr>
      <w:r>
        <w:rPr>
          <w:rFonts w:ascii="Times New Roman" w:cs="Times New Roman" w:eastAsia="Times New Roman" w:hAnsi="Times New Roman"/>
          <w:sz w:val="18"/>
          <w:szCs w:val="18"/>
          <w:color w:val="auto"/>
        </w:rPr>
        <w:t>The following table describes actions by our directors and Section 16 officers with respect to plans intended to satisfy the affirmative defense conditions of Rule 10b5-1(c) during the three months ended January 2, 2026. None of our directors or Section 16 officers terminated a Rule 10b5-1 trading arrangement or took actions with respect to a “non-Rule 10b5-1 trading arrangement,” as such term is defined in Item 408(c) of Regulation S-K, during the three months ended January 2, 2026.</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1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2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Expiration of Plan (1)</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Potential Number of</w:t>
            </w:r>
          </w:p>
        </w:tc>
        <w:tc>
          <w:tcPr>
            <w:tcW w:w="0" w:type="dxa"/>
            <w:vAlign w:val="bottom"/>
          </w:tcPr>
          <w:p>
            <w:pPr>
              <w:spacing w:after="0"/>
              <w:rPr>
                <w:sz w:val="1"/>
                <w:szCs w:val="1"/>
                <w:color w:val="auto"/>
              </w:rPr>
            </w:pPr>
          </w:p>
        </w:tc>
      </w:tr>
      <w:tr>
        <w:trPr>
          <w:trHeight w:val="211"/>
        </w:trPr>
        <w:tc>
          <w:tcPr>
            <w:tcW w:w="436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960" w:type="dxa"/>
            <w:vAlign w:val="bottom"/>
            <w:gridSpan w:val="2"/>
            <w:vMerge w:val="continue"/>
          </w:tcPr>
          <w:p>
            <w:pPr>
              <w:spacing w:after="0"/>
              <w:rPr>
                <w:sz w:val="18"/>
                <w:szCs w:val="18"/>
                <w:color w:val="auto"/>
              </w:rPr>
            </w:pPr>
          </w:p>
        </w:tc>
        <w:tc>
          <w:tcPr>
            <w:tcW w:w="2060" w:type="dxa"/>
            <w:vAlign w:val="bottom"/>
            <w:gridSpan w:val="2"/>
            <w:vMerge w:val="continue"/>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to be Sold (2)</w:t>
            </w:r>
          </w:p>
        </w:tc>
        <w:tc>
          <w:tcPr>
            <w:tcW w:w="0" w:type="dxa"/>
            <w:vAlign w:val="bottom"/>
          </w:tcPr>
          <w:p>
            <w:pPr>
              <w:spacing w:after="0"/>
              <w:rPr>
                <w:sz w:val="1"/>
                <w:szCs w:val="1"/>
                <w:color w:val="auto"/>
              </w:rPr>
            </w:pPr>
          </w:p>
        </w:tc>
      </w:tr>
      <w:tr>
        <w:trPr>
          <w:trHeight w:val="167"/>
        </w:trPr>
        <w:tc>
          <w:tcPr>
            <w:tcW w:w="4260" w:type="dxa"/>
            <w:vAlign w:val="bottom"/>
            <w:tcBorders>
              <w:top w:val="single" w:sz="8" w:color="auto"/>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Robert Dennehy</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8"/>
                <w:szCs w:val="18"/>
                <w:color w:val="auto"/>
                <w:w w:val="98"/>
              </w:rPr>
              <w:t>Sale of up to 18,398</w:t>
            </w:r>
          </w:p>
        </w:tc>
        <w:tc>
          <w:tcPr>
            <w:tcW w:w="0" w:type="dxa"/>
            <w:vAlign w:val="bottom"/>
          </w:tcPr>
          <w:p>
            <w:pPr>
              <w:spacing w:after="0"/>
              <w:rPr>
                <w:sz w:val="1"/>
                <w:szCs w:val="1"/>
                <w:color w:val="auto"/>
              </w:rPr>
            </w:pPr>
          </w:p>
        </w:tc>
      </w:tr>
      <w:tr>
        <w:trPr>
          <w:trHeight w:val="23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Senior Vice President, Chief Operating Officer</w:t>
            </w: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Adoption</w:t>
            </w:r>
          </w:p>
        </w:tc>
        <w:tc>
          <w:tcPr>
            <w:tcW w:w="1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November 27, 2025</w:t>
            </w: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November 20, 2026</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shares</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20" w:hanging="374"/>
        <w:spacing w:after="0"/>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plan termination or such earlier date upon which all transactions are completed or expire without execution.</w:t>
      </w:r>
    </w:p>
    <w:p>
      <w:pPr>
        <w:spacing w:after="0" w:line="125" w:lineRule="exact"/>
        <w:rPr>
          <w:rFonts w:ascii="Times New Roman" w:cs="Times New Roman" w:eastAsia="Times New Roman" w:hAnsi="Times New Roman"/>
          <w:sz w:val="18"/>
          <w:szCs w:val="18"/>
          <w:color w:val="auto"/>
        </w:rPr>
      </w:pPr>
    </w:p>
    <w:p>
      <w:pPr>
        <w:jc w:val="both"/>
        <w:ind w:left="440" w:hanging="394"/>
        <w:spacing w:after="0" w:line="260" w:lineRule="auto"/>
        <w:tabs>
          <w:tab w:leader="none" w:pos="4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gross number of shares subject to the Rule 10b5-1 plan, excluding the potential effect of shares withheld for taxes. Amounts may include shares to be earned as PRSUs and are presented at their target amounts. The actual number of PRSUs earned following the end of the applicable performance period, if any, will depend on the relative achievement of the applicable performance metrics.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10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Exhibit</w:t>
            </w: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2"/>
        </w:trPr>
        <w:tc>
          <w:tcPr>
            <w:tcW w:w="580" w:type="dxa"/>
            <w:vAlign w:val="bottom"/>
            <w:tcBorders>
              <w:bottom w:val="single" w:sz="8" w:color="auto"/>
            </w:tcBorders>
          </w:tcPr>
          <w:p>
            <w:pPr>
              <w:jc w:val="center"/>
              <w:spacing w:after="0" w:line="166" w:lineRule="exact"/>
              <w:rPr>
                <w:sz w:val="20"/>
                <w:szCs w:val="20"/>
                <w:color w:val="auto"/>
              </w:rPr>
            </w:pPr>
            <w:r>
              <w:rPr>
                <w:rFonts w:ascii="Times New Roman" w:cs="Times New Roman" w:eastAsia="Times New Roman" w:hAnsi="Times New Roman"/>
                <w:sz w:val="18"/>
                <w:szCs w:val="18"/>
                <w:color w:val="auto"/>
                <w:w w:val="98"/>
              </w:rPr>
              <w:t>Number</w:t>
            </w:r>
          </w:p>
        </w:tc>
        <w:tc>
          <w:tcPr>
            <w:tcW w:w="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40" w:type="dxa"/>
            <w:vAlign w:val="bottom"/>
            <w:tcBorders>
              <w:bottom w:val="single" w:sz="8" w:color="auto"/>
            </w:tcBorders>
            <w:gridSpan w:val="2"/>
          </w:tcPr>
          <w:p>
            <w:pPr>
              <w:spacing w:after="0" w:line="166" w:lineRule="exact"/>
              <w:rPr>
                <w:sz w:val="20"/>
                <w:szCs w:val="20"/>
                <w:color w:val="auto"/>
              </w:rPr>
            </w:pPr>
            <w:r>
              <w:rPr>
                <w:rFonts w:ascii="Times New Roman" w:cs="Times New Roman" w:eastAsia="Times New Roman" w:hAnsi="Times New Roman"/>
                <w:sz w:val="18"/>
                <w:szCs w:val="18"/>
                <w:color w:val="auto"/>
                <w:w w:val="97"/>
              </w:rPr>
              <w:t>Description</w:t>
            </w:r>
          </w:p>
        </w:tc>
        <w:tc>
          <w:tcPr>
            <w:tcW w:w="2980" w:type="dxa"/>
            <w:vAlign w:val="bottom"/>
            <w:gridSpan w:val="9"/>
          </w:tcPr>
          <w:p>
            <w:pPr>
              <w:spacing w:after="0"/>
              <w:rPr>
                <w:sz w:val="16"/>
                <w:szCs w:val="16"/>
                <w:color w:val="auto"/>
              </w:rPr>
            </w:pPr>
          </w:p>
        </w:tc>
      </w:tr>
      <w:tr>
        <w:trPr>
          <w:trHeight w:val="212"/>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500" w:type="dxa"/>
            <w:vAlign w:val="bottom"/>
          </w:tcPr>
          <w:p>
            <w:pPr>
              <w:spacing w:after="0"/>
              <w:rPr>
                <w:sz w:val="18"/>
                <w:szCs w:val="18"/>
                <w:color w:val="auto"/>
              </w:rPr>
            </w:pPr>
          </w:p>
        </w:tc>
        <w:tc>
          <w:tcPr>
            <w:tcW w:w="6900" w:type="dxa"/>
            <w:vAlign w:val="bottom"/>
            <w:gridSpan w:val="13"/>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Fifth Amended and Restated Certificate of Incorporation, as amended by the Certificate of</w:t>
              </w:r>
            </w:hyperlink>
          </w:p>
        </w:tc>
      </w:tr>
      <w:tr>
        <w:trPr>
          <w:trHeight w:val="153"/>
        </w:trPr>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0" w:type="dxa"/>
            <w:vAlign w:val="bottom"/>
            <w:tcBorders>
              <w:top w:val="single" w:sz="8" w:color="0000FF"/>
            </w:tcBorders>
            <w:gridSpan w:val="5"/>
          </w:tcPr>
          <w:p>
            <w:pPr>
              <w:spacing w:after="0" w:line="153" w:lineRule="exact"/>
              <w:rPr>
                <w:rFonts w:ascii="Times New Roman" w:cs="Times New Roman" w:eastAsia="Times New Roman" w:hAnsi="Times New Roman"/>
                <w:sz w:val="17"/>
                <w:szCs w:val="17"/>
                <w:color w:val="0000FF"/>
              </w:rPr>
            </w:pPr>
            <w:hyperlink r:id="rId52">
              <w:r>
                <w:rPr>
                  <w:rFonts w:ascii="Times New Roman" w:cs="Times New Roman" w:eastAsia="Times New Roman" w:hAnsi="Times New Roman"/>
                  <w:sz w:val="17"/>
                  <w:szCs w:val="17"/>
                  <w:color w:val="0000FF"/>
                </w:rPr>
                <w:t>Amendment dated March 2, 2023 and as further amended by the Certificate of Amendment</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gridSpan w:val="6"/>
          </w:tcPr>
          <w:p>
            <w:pPr>
              <w:ind w:left="20"/>
              <w:spacing w:after="0" w:line="153" w:lineRule="exact"/>
              <w:rPr>
                <w:rFonts w:ascii="Times New Roman" w:cs="Times New Roman" w:eastAsia="Times New Roman" w:hAnsi="Times New Roman"/>
                <w:sz w:val="17"/>
                <w:szCs w:val="17"/>
                <w:color w:val="0000FF"/>
              </w:rPr>
            </w:pPr>
            <w:hyperlink r:id="rId52">
              <w:r>
                <w:rPr>
                  <w:rFonts w:ascii="Times New Roman" w:cs="Times New Roman" w:eastAsia="Times New Roman" w:hAnsi="Times New Roman"/>
                  <w:sz w:val="17"/>
                  <w:szCs w:val="17"/>
                  <w:color w:val="0000FF"/>
                </w:rPr>
                <w:t>dated</w:t>
              </w:r>
            </w:hyperlink>
          </w:p>
        </w:tc>
      </w:tr>
      <w:tr>
        <w:trPr>
          <w:trHeight w:val="166"/>
        </w:trPr>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80" w:type="dxa"/>
            <w:vAlign w:val="bottom"/>
            <w:tcBorders>
              <w:top w:val="single" w:sz="8" w:color="0000FF"/>
            </w:tcBorders>
            <w:gridSpan w:val="12"/>
          </w:tcPr>
          <w:p>
            <w:pPr>
              <w:spacing w:after="0" w:line="166" w:lineRule="exact"/>
              <w:rPr>
                <w:rFonts w:ascii="Times New Roman" w:cs="Times New Roman" w:eastAsia="Times New Roman" w:hAnsi="Times New Roman"/>
                <w:sz w:val="18"/>
                <w:szCs w:val="18"/>
                <w:color w:val="0000FF"/>
                <w:w w:val="98"/>
              </w:rPr>
            </w:pPr>
            <w:hyperlink r:id="rId52">
              <w:r>
                <w:rPr>
                  <w:rFonts w:ascii="Times New Roman" w:cs="Times New Roman" w:eastAsia="Times New Roman" w:hAnsi="Times New Roman"/>
                  <w:sz w:val="18"/>
                  <w:szCs w:val="18"/>
                  <w:color w:val="0000FF"/>
                  <w:w w:val="98"/>
                </w:rPr>
                <w:t>March 11, 2024 (incorporated by reference to Exhibit 3.1 to our Quarterly Report on Form 10-Q</w:t>
              </w:r>
            </w:hyperlink>
          </w:p>
        </w:tc>
        <w:tc>
          <w:tcPr>
            <w:tcW w:w="20" w:type="dxa"/>
            <w:vAlign w:val="bottom"/>
          </w:tcPr>
          <w:p>
            <w:pPr>
              <w:spacing w:after="0"/>
              <w:rPr>
                <w:sz w:val="14"/>
                <w:szCs w:val="14"/>
                <w:color w:val="auto"/>
              </w:rPr>
            </w:pPr>
          </w:p>
        </w:tc>
      </w:tr>
      <w:tr>
        <w:trPr>
          <w:trHeight w:val="153"/>
        </w:trPr>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20" w:type="dxa"/>
            <w:vAlign w:val="bottom"/>
            <w:tcBorders>
              <w:top w:val="single" w:sz="8" w:color="0000FF"/>
            </w:tcBorders>
            <w:gridSpan w:val="10"/>
          </w:tcPr>
          <w:p>
            <w:pPr>
              <w:spacing w:after="0" w:line="153" w:lineRule="exact"/>
              <w:rPr>
                <w:rFonts w:ascii="Times New Roman" w:cs="Times New Roman" w:eastAsia="Times New Roman" w:hAnsi="Times New Roman"/>
                <w:sz w:val="17"/>
                <w:szCs w:val="17"/>
                <w:color w:val="0000FF"/>
              </w:rPr>
            </w:pPr>
            <w:hyperlink r:id="rId52">
              <w:r>
                <w:rPr>
                  <w:rFonts w:ascii="Times New Roman" w:cs="Times New Roman" w:eastAsia="Times New Roman" w:hAnsi="Times New Roman"/>
                  <w:sz w:val="17"/>
                  <w:szCs w:val="17"/>
                  <w:color w:val="0000FF"/>
                </w:rPr>
                <w:t>filed on May 2, 2024).</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6"/>
        </w:trPr>
        <w:tc>
          <w:tcPr>
            <w:tcW w:w="580" w:type="dxa"/>
            <w:vAlign w:val="bottom"/>
          </w:tcPr>
          <w:p>
            <w:pPr>
              <w:jc w:val="center"/>
              <w:spacing w:after="0" w:line="206" w:lineRule="exact"/>
              <w:rPr>
                <w:sz w:val="20"/>
                <w:szCs w:val="20"/>
                <w:color w:val="auto"/>
              </w:rPr>
            </w:pPr>
            <w:r>
              <w:rPr>
                <w:rFonts w:ascii="Times New Roman" w:cs="Times New Roman" w:eastAsia="Times New Roman" w:hAnsi="Times New Roman"/>
                <w:sz w:val="18"/>
                <w:szCs w:val="18"/>
                <w:color w:val="auto"/>
                <w:w w:val="97"/>
              </w:rPr>
              <w:t>3.2</w:t>
            </w:r>
          </w:p>
        </w:tc>
        <w:tc>
          <w:tcPr>
            <w:tcW w:w="500" w:type="dxa"/>
            <w:vAlign w:val="bottom"/>
          </w:tcPr>
          <w:p>
            <w:pPr>
              <w:spacing w:after="0"/>
              <w:rPr>
                <w:sz w:val="17"/>
                <w:szCs w:val="17"/>
                <w:color w:val="auto"/>
              </w:rPr>
            </w:pPr>
          </w:p>
        </w:tc>
        <w:tc>
          <w:tcPr>
            <w:tcW w:w="6900" w:type="dxa"/>
            <w:vAlign w:val="bottom"/>
            <w:gridSpan w:val="13"/>
          </w:tcPr>
          <w:p>
            <w:pPr>
              <w:spacing w:after="0" w:line="20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Fourth Amended and Restated Bylaws (incorporated by reference to Exhibit 3.1 to our Current</w:t>
              </w:r>
            </w:hyperlink>
          </w:p>
        </w:tc>
      </w:tr>
      <w:tr>
        <w:trPr>
          <w:trHeight w:val="153"/>
        </w:trPr>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700" w:type="dxa"/>
            <w:vAlign w:val="bottom"/>
            <w:tcBorders>
              <w:top w:val="single" w:sz="8" w:color="0000FF"/>
            </w:tcBorders>
            <w:gridSpan w:val="8"/>
          </w:tcPr>
          <w:p>
            <w:pPr>
              <w:spacing w:after="0" w:line="153" w:lineRule="exact"/>
              <w:rPr>
                <w:rFonts w:ascii="Times New Roman" w:cs="Times New Roman" w:eastAsia="Times New Roman" w:hAnsi="Times New Roman"/>
                <w:sz w:val="17"/>
                <w:szCs w:val="17"/>
                <w:color w:val="0000FF"/>
              </w:rPr>
            </w:pPr>
            <w:hyperlink r:id="rId53">
              <w:r>
                <w:rPr>
                  <w:rFonts w:ascii="Times New Roman" w:cs="Times New Roman" w:eastAsia="Times New Roman" w:hAnsi="Times New Roman"/>
                  <w:sz w:val="17"/>
                  <w:szCs w:val="17"/>
                  <w:color w:val="0000FF"/>
                </w:rPr>
                <w:t>Report on Form 8-K filed on January 6, 2023).</w:t>
              </w:r>
            </w:hyperlink>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316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9"/>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500" w:type="dxa"/>
            <w:vAlign w:val="bottom"/>
          </w:tcPr>
          <w:p>
            <w:pPr>
              <w:spacing w:after="0"/>
              <w:rPr>
                <w:sz w:val="19"/>
                <w:szCs w:val="19"/>
                <w:color w:val="auto"/>
              </w:rPr>
            </w:pPr>
          </w:p>
        </w:tc>
        <w:tc>
          <w:tcPr>
            <w:tcW w:w="69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Certification of Principal Executive Officer Required Under Rule 13a-14(a) and 15d-14(a) of the</w:t>
            </w:r>
          </w:p>
        </w:tc>
      </w:tr>
      <w:tr>
        <w:trPr>
          <w:trHeight w:val="153"/>
        </w:trPr>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40" w:type="dxa"/>
            <w:vAlign w:val="bottom"/>
            <w:tcBorders>
              <w:top w:val="single" w:sz="8" w:color="0000FF"/>
            </w:tcBorders>
            <w:gridSpan w:val="11"/>
          </w:tcPr>
          <w:p>
            <w:pPr>
              <w:spacing w:after="0" w:line="153" w:lineRule="exact"/>
              <w:rPr>
                <w:sz w:val="20"/>
                <w:szCs w:val="20"/>
                <w:color w:val="auto"/>
              </w:rPr>
            </w:pPr>
            <w:r>
              <w:rPr>
                <w:rFonts w:ascii="Times New Roman" w:cs="Times New Roman" w:eastAsia="Times New Roman" w:hAnsi="Times New Roman"/>
                <w:sz w:val="17"/>
                <w:szCs w:val="17"/>
                <w:color w:val="0000FF"/>
              </w:rPr>
              <w:t>Securities Exchange Act of 1934, as amended.</w:t>
            </w:r>
          </w:p>
        </w:tc>
        <w:tc>
          <w:tcPr>
            <w:tcW w:w="60" w:type="dxa"/>
            <w:vAlign w:val="bottom"/>
            <w:gridSpan w:val="2"/>
          </w:tcPr>
          <w:p>
            <w:pPr>
              <w:spacing w:after="0"/>
              <w:rPr>
                <w:sz w:val="13"/>
                <w:szCs w:val="13"/>
                <w:color w:val="auto"/>
              </w:rPr>
            </w:pPr>
          </w:p>
        </w:tc>
      </w:tr>
      <w:tr>
        <w:trPr>
          <w:trHeight w:val="20"/>
        </w:trPr>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19"/>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500" w:type="dxa"/>
            <w:vAlign w:val="bottom"/>
          </w:tcPr>
          <w:p>
            <w:pPr>
              <w:spacing w:after="0"/>
              <w:rPr>
                <w:sz w:val="19"/>
                <w:szCs w:val="19"/>
                <w:color w:val="auto"/>
              </w:rPr>
            </w:pPr>
          </w:p>
        </w:tc>
        <w:tc>
          <w:tcPr>
            <w:tcW w:w="69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Required Under Rule 13a-14(a) and 15d-14(a) of the</w:t>
            </w:r>
          </w:p>
        </w:tc>
      </w:tr>
      <w:tr>
        <w:trPr>
          <w:trHeight w:val="153"/>
        </w:trPr>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0" w:type="dxa"/>
            <w:vAlign w:val="bottom"/>
            <w:tcBorders>
              <w:top w:val="single" w:sz="8" w:color="0000FF"/>
            </w:tcBorders>
            <w:gridSpan w:val="9"/>
          </w:tcPr>
          <w:p>
            <w:pPr>
              <w:spacing w:after="0" w:line="153" w:lineRule="exact"/>
              <w:rPr>
                <w:sz w:val="20"/>
                <w:szCs w:val="20"/>
                <w:color w:val="auto"/>
              </w:rPr>
            </w:pPr>
            <w:r>
              <w:rPr>
                <w:rFonts w:ascii="Times New Roman" w:cs="Times New Roman" w:eastAsia="Times New Roman" w:hAnsi="Times New Roman"/>
                <w:sz w:val="17"/>
                <w:szCs w:val="17"/>
                <w:color w:val="0000FF"/>
              </w:rPr>
              <w:t>Securities Exchange Act of 1934, as amended.</w:t>
            </w:r>
          </w:p>
        </w:tc>
        <w:tc>
          <w:tcPr>
            <w:tcW w:w="100" w:type="dxa"/>
            <w:vAlign w:val="bottom"/>
            <w:gridSpan w:val="4"/>
          </w:tcPr>
          <w:p>
            <w:pPr>
              <w:spacing w:after="0"/>
              <w:rPr>
                <w:sz w:val="13"/>
                <w:szCs w:val="13"/>
                <w:color w:val="auto"/>
              </w:rPr>
            </w:pPr>
          </w:p>
        </w:tc>
      </w:tr>
      <w:tr>
        <w:trPr>
          <w:trHeight w:val="20"/>
        </w:trPr>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219"/>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500" w:type="dxa"/>
            <w:vAlign w:val="bottom"/>
          </w:tcPr>
          <w:p>
            <w:pPr>
              <w:spacing w:after="0"/>
              <w:rPr>
                <w:sz w:val="19"/>
                <w:szCs w:val="19"/>
                <w:color w:val="auto"/>
              </w:rPr>
            </w:pPr>
          </w:p>
        </w:tc>
        <w:tc>
          <w:tcPr>
            <w:tcW w:w="69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Required Under</w:t>
            </w:r>
          </w:p>
        </w:tc>
      </w:tr>
      <w:tr>
        <w:trPr>
          <w:trHeight w:val="153"/>
        </w:trPr>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40" w:type="dxa"/>
            <w:vAlign w:val="bottom"/>
            <w:tcBorders>
              <w:top w:val="single" w:sz="8" w:color="0000FF"/>
              <w:bottom w:val="single" w:sz="8" w:color="0000FF"/>
            </w:tcBorders>
            <w:gridSpan w:val="6"/>
          </w:tcPr>
          <w:p>
            <w:pPr>
              <w:spacing w:after="0" w:line="153" w:lineRule="exact"/>
              <w:rPr>
                <w:sz w:val="20"/>
                <w:szCs w:val="20"/>
                <w:color w:val="auto"/>
              </w:rPr>
            </w:pPr>
            <w:r>
              <w:rPr>
                <w:rFonts w:ascii="Times New Roman" w:cs="Times New Roman" w:eastAsia="Times New Roman" w:hAnsi="Times New Roman"/>
                <w:sz w:val="17"/>
                <w:szCs w:val="17"/>
                <w:color w:val="0000FF"/>
              </w:rPr>
              <w:t>Rule 13a-14(b) of the Securities Exchange Act of 1934, as amended, and 18 U.S.C. §1350.</w:t>
            </w:r>
          </w:p>
        </w:tc>
        <w:tc>
          <w:tcPr>
            <w:tcW w:w="40" w:type="dxa"/>
            <w:vAlign w:val="bottom"/>
            <w:tcBorders>
              <w:top w:val="single" w:sz="8" w:color="0000FF"/>
            </w:tcBorders>
          </w:tcPr>
          <w:p>
            <w:pPr>
              <w:spacing w:after="0"/>
              <w:rPr>
                <w:sz w:val="13"/>
                <w:szCs w:val="13"/>
                <w:color w:val="auto"/>
              </w:rPr>
            </w:pPr>
          </w:p>
        </w:tc>
        <w:tc>
          <w:tcPr>
            <w:tcW w:w="420" w:type="dxa"/>
            <w:vAlign w:val="bottom"/>
            <w:gridSpan w:val="6"/>
          </w:tcPr>
          <w:p>
            <w:pPr>
              <w:spacing w:after="0"/>
              <w:rPr>
                <w:sz w:val="13"/>
                <w:szCs w:val="13"/>
                <w:color w:val="auto"/>
              </w:rPr>
            </w:pPr>
          </w:p>
        </w:tc>
      </w:tr>
    </w:tbl>
    <w:p>
      <w:pPr>
        <w:spacing w:after="0" w:line="35" w:lineRule="exact"/>
        <w:rPr>
          <w:sz w:val="20"/>
          <w:szCs w:val="20"/>
          <w:color w:val="auto"/>
        </w:rPr>
      </w:pPr>
    </w:p>
    <w:p>
      <w:pPr>
        <w:ind w:left="1560" w:right="1759" w:hanging="923"/>
        <w:spacing w:after="0" w:line="232" w:lineRule="auto"/>
        <w:tabs>
          <w:tab w:leader="none" w:pos="15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 from the Quarterly Report on Form 10-Q of MACOM Technology Solutions Holdings, Inc. for the fiscal quarter ended January 2, 2026, formatted in Inline XBRL:</w:t>
      </w:r>
    </w:p>
    <w:p>
      <w:pPr>
        <w:ind w:left="1560" w:right="1879"/>
        <w:spacing w:after="0" w:line="21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Consolidated Balance Sheets, (ii) Consolidated Statements of Operations, (iii) Consolidated Statements of Comprehensive Income (Loss), (iv) Consolidated Statements of Stockholders’ Equity, (v) Consolidated Statements of Cash Flows, (vi) Notes to Consolidated Financial Statements and (vii) document and entity information, tagged as blocks of text and including detailed tags.</w:t>
      </w:r>
    </w:p>
    <w:p>
      <w:pPr>
        <w:spacing w:after="0" w:line="1" w:lineRule="exact"/>
        <w:rPr>
          <w:sz w:val="20"/>
          <w:szCs w:val="20"/>
          <w:color w:val="auto"/>
        </w:rPr>
      </w:pPr>
    </w:p>
    <w:p>
      <w:pPr>
        <w:ind w:left="1560" w:right="1579" w:hanging="923"/>
        <w:spacing w:after="0" w:line="225" w:lineRule="auto"/>
        <w:tabs>
          <w:tab w:leader="none" w:pos="1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for the Quarterly Report on Form 10-Q of MACOM Technology Solutions Holdings, Inc. for the fiscal quarter ended January 2, 2026, formatted in Inline XBRL and included as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876" w:right="1440" w:bottom="1440" w:gutter="0" w:footer="0" w:header="0"/>
        </w:sectPr>
      </w:pPr>
    </w:p>
    <w:bookmarkStart w:id="34" w:name="page35"/>
    <w:bookmarkEnd w:id="34"/>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4"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9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MACOM TECHNOLOGY SOLUTIONS HOLDINGS, INC.</w:t>
      </w:r>
    </w:p>
    <w:p>
      <w:pPr>
        <w:spacing w:after="0" w:line="286" w:lineRule="exact"/>
        <w:rPr>
          <w:sz w:val="20"/>
          <w:szCs w:val="20"/>
          <w:color w:val="auto"/>
        </w:rPr>
      </w:pPr>
    </w:p>
    <w:p>
      <w:pPr>
        <w:ind w:left="20"/>
        <w:spacing w:after="0"/>
        <w:tabs>
          <w:tab w:leader="none" w:pos="2480" w:val="left"/>
          <w:tab w:leader="none" w:pos="3080" w:val="left"/>
        </w:tabs>
        <w:rPr>
          <w:sz w:val="20"/>
          <w:szCs w:val="20"/>
          <w:color w:val="auto"/>
        </w:rPr>
      </w:pPr>
      <w:r>
        <w:rPr>
          <w:rFonts w:ascii="Times New Roman" w:cs="Times New Roman" w:eastAsia="Times New Roman" w:hAnsi="Times New Roman"/>
          <w:sz w:val="18"/>
          <w:szCs w:val="18"/>
          <w:color w:val="auto"/>
        </w:rPr>
        <w:t>Dated: February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G. 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15240</wp:posOffset>
            </wp:positionV>
            <wp:extent cx="45789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4578985" cy="8255"/>
                    </a:xfrm>
                    <a:prstGeom prst="rect">
                      <a:avLst/>
                    </a:prstGeom>
                    <a:noFill/>
                  </pic:spPr>
                </pic:pic>
              </a:graphicData>
            </a:graphic>
          </wp:anchor>
        </w:drawing>
      </w:r>
    </w:p>
    <w:p>
      <w:pPr>
        <w:spacing w:after="0" w:line="1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Stephen G. Daly</w:t>
      </w:r>
    </w:p>
    <w:p>
      <w:pPr>
        <w:spacing w:after="0" w:line="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and Chair of the Board</w:t>
      </w:r>
    </w:p>
    <w:p>
      <w:pPr>
        <w:ind w:left="3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78" w:lineRule="exact"/>
        <w:rPr>
          <w:sz w:val="20"/>
          <w:szCs w:val="20"/>
          <w:color w:val="auto"/>
        </w:rPr>
      </w:pPr>
    </w:p>
    <w:p>
      <w:pPr>
        <w:ind w:left="20"/>
        <w:spacing w:after="0"/>
        <w:tabs>
          <w:tab w:leader="none" w:pos="2480" w:val="left"/>
          <w:tab w:leader="none" w:pos="3080" w:val="left"/>
        </w:tabs>
        <w:rPr>
          <w:sz w:val="20"/>
          <w:szCs w:val="20"/>
          <w:color w:val="auto"/>
        </w:rPr>
      </w:pPr>
      <w:r>
        <w:rPr>
          <w:rFonts w:ascii="Times New Roman" w:cs="Times New Roman" w:eastAsia="Times New Roman" w:hAnsi="Times New Roman"/>
          <w:sz w:val="18"/>
          <w:szCs w:val="18"/>
          <w:color w:val="auto"/>
        </w:rPr>
        <w:t>Dated: February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F. Kober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15240</wp:posOffset>
            </wp:positionV>
            <wp:extent cx="45789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4578985" cy="8255"/>
                    </a:xfrm>
                    <a:prstGeom prst="rect">
                      <a:avLst/>
                    </a:prstGeom>
                    <a:noFill/>
                  </pic:spPr>
                </pic:pic>
              </a:graphicData>
            </a:graphic>
          </wp:anchor>
        </w:drawing>
      </w:r>
    </w:p>
    <w:p>
      <w:pPr>
        <w:spacing w:after="0" w:line="1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John F. Kober</w:t>
      </w:r>
    </w:p>
    <w:p>
      <w:pPr>
        <w:spacing w:after="0" w:line="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ind w:left="3100"/>
        <w:spacing w:after="0"/>
        <w:rPr>
          <w:sz w:val="20"/>
          <w:szCs w:val="20"/>
          <w:color w:val="auto"/>
        </w:rPr>
      </w:pPr>
      <w:r>
        <w:rPr>
          <w:rFonts w:ascii="Times New Roman" w:cs="Times New Roman" w:eastAsia="Times New Roman" w:hAnsi="Times New Roman"/>
          <w:sz w:val="18"/>
          <w:szCs w:val="18"/>
          <w:i w:val="1"/>
          <w:iCs w:val="1"/>
          <w:color w:val="auto"/>
        </w:rPr>
        <w:t>(Principal Accounting and Principal Financial Officer)</w:t>
      </w:r>
    </w:p>
    <w:p>
      <w:pPr>
        <w:sectPr>
          <w:pgSz w:w="11900" w:h="16838" w:orient="portrait"/>
          <w:cols w:equalWidth="0" w:num="1">
            <w:col w:w="11100"/>
          </w:cols>
          <w:pgMar w:left="320" w:top="982" w:right="479" w:bottom="1440" w:gutter="0" w:footer="0" w:header="0"/>
        </w:sectPr>
      </w:pPr>
    </w:p>
    <w:bookmarkStart w:id="35" w:name="page36"/>
    <w:bookmarkEnd w:id="35"/>
    <w:p>
      <w:pPr>
        <w:ind w:left="10420"/>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PRESIDENT AND CEO PURSUANT TO SECTION 302 OF THE SARBANES-OXLEY ACT OF 2002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Stephen G. Daly, certify that:</w:t>
      </w:r>
    </w:p>
    <w:p>
      <w:pPr>
        <w:spacing w:after="0" w:line="121" w:lineRule="exact"/>
        <w:rPr>
          <w:sz w:val="20"/>
          <w:szCs w:val="20"/>
          <w:color w:val="auto"/>
        </w:rPr>
      </w:pPr>
    </w:p>
    <w:p>
      <w:pPr>
        <w:ind w:left="640" w:hanging="315"/>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MACOM Technology Solutions Holdings, Inc.;</w:t>
      </w:r>
    </w:p>
    <w:p>
      <w:pPr>
        <w:spacing w:after="0" w:line="108" w:lineRule="exact"/>
        <w:rPr>
          <w:rFonts w:ascii="Times New Roman" w:cs="Times New Roman" w:eastAsia="Times New Roman" w:hAnsi="Times New Roman"/>
          <w:sz w:val="16"/>
          <w:szCs w:val="16"/>
          <w:color w:val="auto"/>
        </w:rPr>
      </w:pPr>
    </w:p>
    <w:p>
      <w:pPr>
        <w:ind w:left="640" w:right="20" w:hanging="315"/>
        <w:spacing w:after="0" w:line="291" w:lineRule="auto"/>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Times New Roman" w:cs="Times New Roman" w:eastAsia="Times New Roman" w:hAnsi="Times New Roman"/>
          <w:sz w:val="16"/>
          <w:szCs w:val="16"/>
          <w:color w:val="auto"/>
        </w:rPr>
      </w:pPr>
    </w:p>
    <w:p>
      <w:pPr>
        <w:ind w:left="640" w:right="20" w:hanging="315"/>
        <w:spacing w:after="0" w:line="273" w:lineRule="auto"/>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6"/>
          <w:szCs w:val="16"/>
          <w:color w:val="auto"/>
        </w:rPr>
      </w:pPr>
    </w:p>
    <w:p>
      <w:pPr>
        <w:ind w:left="640" w:right="20" w:hanging="315"/>
        <w:spacing w:after="0" w:line="308" w:lineRule="auto"/>
        <w:tabs>
          <w:tab w:leader="none" w:pos="6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5"/>
          <w:szCs w:val="15"/>
          <w:color w:val="auto"/>
        </w:rPr>
      </w:pPr>
    </w:p>
    <w:p>
      <w:pPr>
        <w:ind w:left="1280" w:right="200" w:hanging="318"/>
        <w:spacing w:after="0" w:line="258" w:lineRule="auto"/>
        <w:tabs>
          <w:tab w:leader="none" w:pos="1271"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Times New Roman" w:cs="Times New Roman" w:eastAsia="Times New Roman" w:hAnsi="Times New Roman"/>
          <w:sz w:val="16"/>
          <w:szCs w:val="16"/>
          <w:color w:val="auto"/>
        </w:rPr>
      </w:pPr>
    </w:p>
    <w:p>
      <w:pPr>
        <w:ind w:left="1280" w:right="100" w:hanging="318"/>
        <w:spacing w:after="0" w:line="258" w:lineRule="auto"/>
        <w:tabs>
          <w:tab w:leader="none" w:pos="128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3" w:lineRule="exact"/>
        <w:rPr>
          <w:rFonts w:ascii="Times New Roman" w:cs="Times New Roman" w:eastAsia="Times New Roman" w:hAnsi="Times New Roman"/>
          <w:sz w:val="16"/>
          <w:szCs w:val="16"/>
          <w:color w:val="auto"/>
        </w:rPr>
      </w:pPr>
    </w:p>
    <w:p>
      <w:pPr>
        <w:ind w:left="1280" w:right="100" w:hanging="318"/>
        <w:spacing w:after="0" w:line="273" w:lineRule="auto"/>
        <w:tabs>
          <w:tab w:leader="none" w:pos="1271"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6"/>
          <w:szCs w:val="16"/>
          <w:color w:val="auto"/>
        </w:rPr>
      </w:pPr>
    </w:p>
    <w:p>
      <w:pPr>
        <w:ind w:left="1280" w:right="40" w:hanging="318"/>
        <w:spacing w:after="0" w:line="258" w:lineRule="auto"/>
        <w:tabs>
          <w:tab w:leader="none" w:pos="128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3" w:lineRule="exact"/>
        <w:rPr>
          <w:rFonts w:ascii="Times New Roman" w:cs="Times New Roman" w:eastAsia="Times New Roman" w:hAnsi="Times New Roman"/>
          <w:sz w:val="16"/>
          <w:szCs w:val="16"/>
          <w:color w:val="auto"/>
        </w:rPr>
      </w:pPr>
    </w:p>
    <w:p>
      <w:pPr>
        <w:ind w:left="640" w:right="320" w:hanging="315"/>
        <w:spacing w:after="0" w:line="273" w:lineRule="auto"/>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2" w:lineRule="exact"/>
        <w:rPr>
          <w:rFonts w:ascii="Times New Roman" w:cs="Times New Roman" w:eastAsia="Times New Roman" w:hAnsi="Times New Roman"/>
          <w:sz w:val="16"/>
          <w:szCs w:val="16"/>
          <w:color w:val="auto"/>
        </w:rPr>
      </w:pPr>
    </w:p>
    <w:p>
      <w:pPr>
        <w:ind w:left="1280" w:right="280" w:hanging="318"/>
        <w:spacing w:after="0" w:line="273" w:lineRule="auto"/>
        <w:tabs>
          <w:tab w:leader="none" w:pos="1271"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Times New Roman" w:cs="Times New Roman" w:eastAsia="Times New Roman" w:hAnsi="Times New Roman"/>
          <w:sz w:val="16"/>
          <w:szCs w:val="16"/>
          <w:color w:val="auto"/>
        </w:rPr>
      </w:pPr>
    </w:p>
    <w:p>
      <w:pPr>
        <w:ind w:left="1280" w:right="480" w:hanging="318"/>
        <w:spacing w:after="0" w:line="291" w:lineRule="auto"/>
        <w:tabs>
          <w:tab w:leader="none" w:pos="128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Date: February 5, 2026</w:t>
      </w:r>
    </w:p>
    <w:p>
      <w:pPr>
        <w:spacing w:after="0" w:line="2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 Stephen G. 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18415</wp:posOffset>
            </wp:positionV>
            <wp:extent cx="24542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Stephen G. Daly</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President and Chief Executive Officer and Chair of the</w:t>
      </w:r>
    </w:p>
    <w:p>
      <w:pPr>
        <w:ind w:left="760"/>
        <w:spacing w:after="0" w:line="207" w:lineRule="auto"/>
        <w:rPr>
          <w:sz w:val="20"/>
          <w:szCs w:val="20"/>
          <w:color w:val="auto"/>
        </w:rPr>
      </w:pPr>
      <w:r>
        <w:rPr>
          <w:rFonts w:ascii="Times New Roman" w:cs="Times New Roman" w:eastAsia="Times New Roman" w:hAnsi="Times New Roman"/>
          <w:sz w:val="16"/>
          <w:szCs w:val="16"/>
          <w:color w:val="auto"/>
        </w:rPr>
        <w:t>Board</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9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THE CFO PURSUANT TO SECTION 302 OF THE SARBANES-OXLEY ACT OF 2002</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 </w:t>
      </w:r>
      <w:r>
        <w:rPr>
          <w:rFonts w:ascii="Times New Roman" w:cs="Times New Roman" w:eastAsia="Times New Roman" w:hAnsi="Times New Roman"/>
          <w:sz w:val="17"/>
          <w:szCs w:val="17"/>
          <w:color w:val="auto"/>
        </w:rPr>
        <w:t>John F. Kober</w:t>
      </w:r>
      <w:r>
        <w:rPr>
          <w:rFonts w:ascii="Times New Roman" w:cs="Times New Roman" w:eastAsia="Times New Roman" w:hAnsi="Times New Roman"/>
          <w:sz w:val="16"/>
          <w:szCs w:val="16"/>
          <w:color w:val="auto"/>
        </w:rPr>
        <w:t>, certify that:</w:t>
      </w:r>
    </w:p>
    <w:p>
      <w:pPr>
        <w:spacing w:after="0" w:line="128" w:lineRule="exact"/>
        <w:rPr>
          <w:sz w:val="20"/>
          <w:szCs w:val="20"/>
          <w:color w:val="auto"/>
        </w:rPr>
      </w:pPr>
    </w:p>
    <w:p>
      <w:pPr>
        <w:ind w:left="640" w:hanging="315"/>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MACOM Technology Solutions Holdings, Inc.;</w:t>
      </w:r>
    </w:p>
    <w:p>
      <w:pPr>
        <w:spacing w:after="0" w:line="121" w:lineRule="exact"/>
        <w:rPr>
          <w:rFonts w:ascii="Times New Roman" w:cs="Times New Roman" w:eastAsia="Times New Roman" w:hAnsi="Times New Roman"/>
          <w:sz w:val="16"/>
          <w:szCs w:val="16"/>
          <w:color w:val="auto"/>
        </w:rPr>
      </w:pPr>
    </w:p>
    <w:p>
      <w:pPr>
        <w:ind w:left="640" w:right="20" w:hanging="315"/>
        <w:spacing w:after="0" w:line="273" w:lineRule="auto"/>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Times New Roman" w:cs="Times New Roman" w:eastAsia="Times New Roman" w:hAnsi="Times New Roman"/>
          <w:sz w:val="16"/>
          <w:szCs w:val="16"/>
          <w:color w:val="auto"/>
        </w:rPr>
      </w:pPr>
    </w:p>
    <w:p>
      <w:pPr>
        <w:ind w:left="640" w:right="20" w:hanging="315"/>
        <w:spacing w:after="0" w:line="273" w:lineRule="auto"/>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Times New Roman" w:cs="Times New Roman" w:eastAsia="Times New Roman" w:hAnsi="Times New Roman"/>
          <w:sz w:val="16"/>
          <w:szCs w:val="16"/>
          <w:color w:val="auto"/>
        </w:rPr>
      </w:pPr>
    </w:p>
    <w:p>
      <w:pPr>
        <w:ind w:left="640" w:right="20" w:hanging="315"/>
        <w:spacing w:after="0" w:line="326" w:lineRule="auto"/>
        <w:tabs>
          <w:tab w:leader="none" w:pos="6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 w:lineRule="exact"/>
        <w:rPr>
          <w:rFonts w:ascii="Times New Roman" w:cs="Times New Roman" w:eastAsia="Times New Roman" w:hAnsi="Times New Roman"/>
          <w:sz w:val="15"/>
          <w:szCs w:val="15"/>
          <w:color w:val="auto"/>
        </w:rPr>
      </w:pPr>
    </w:p>
    <w:p>
      <w:pPr>
        <w:ind w:left="1280" w:right="200" w:hanging="318"/>
        <w:spacing w:after="0" w:line="266" w:lineRule="auto"/>
        <w:tabs>
          <w:tab w:leader="none" w:pos="1271"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Times New Roman" w:cs="Times New Roman" w:eastAsia="Times New Roman" w:hAnsi="Times New Roman"/>
          <w:sz w:val="16"/>
          <w:szCs w:val="16"/>
          <w:color w:val="auto"/>
        </w:rPr>
      </w:pPr>
    </w:p>
    <w:p>
      <w:pPr>
        <w:ind w:left="1280" w:right="100" w:hanging="318"/>
        <w:spacing w:after="0" w:line="266" w:lineRule="auto"/>
        <w:tabs>
          <w:tab w:leader="none" w:pos="128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Times New Roman" w:cs="Times New Roman" w:eastAsia="Times New Roman" w:hAnsi="Times New Roman"/>
          <w:sz w:val="16"/>
          <w:szCs w:val="16"/>
          <w:color w:val="auto"/>
        </w:rPr>
      </w:pPr>
    </w:p>
    <w:p>
      <w:pPr>
        <w:ind w:left="1280" w:right="100" w:hanging="318"/>
        <w:spacing w:after="0" w:line="291" w:lineRule="auto"/>
        <w:tabs>
          <w:tab w:leader="none" w:pos="1271"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6"/>
          <w:szCs w:val="16"/>
          <w:color w:val="auto"/>
        </w:rPr>
      </w:pPr>
    </w:p>
    <w:p>
      <w:pPr>
        <w:ind w:left="1280" w:right="40" w:hanging="318"/>
        <w:spacing w:after="0" w:line="266" w:lineRule="auto"/>
        <w:tabs>
          <w:tab w:leader="none" w:pos="128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5" w:lineRule="exact"/>
        <w:rPr>
          <w:rFonts w:ascii="Times New Roman" w:cs="Times New Roman" w:eastAsia="Times New Roman" w:hAnsi="Times New Roman"/>
          <w:sz w:val="16"/>
          <w:szCs w:val="16"/>
          <w:color w:val="auto"/>
        </w:rPr>
      </w:pPr>
    </w:p>
    <w:p>
      <w:pPr>
        <w:ind w:left="640" w:right="320" w:hanging="315"/>
        <w:spacing w:after="0" w:line="291" w:lineRule="auto"/>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Times New Roman" w:cs="Times New Roman" w:eastAsia="Times New Roman" w:hAnsi="Times New Roman"/>
          <w:sz w:val="16"/>
          <w:szCs w:val="16"/>
          <w:color w:val="auto"/>
        </w:rPr>
      </w:pPr>
    </w:p>
    <w:p>
      <w:pPr>
        <w:ind w:left="1280" w:right="280" w:hanging="318"/>
        <w:spacing w:after="0" w:line="291" w:lineRule="auto"/>
        <w:tabs>
          <w:tab w:leader="none" w:pos="1271"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5" w:lineRule="exact"/>
        <w:rPr>
          <w:rFonts w:ascii="Times New Roman" w:cs="Times New Roman" w:eastAsia="Times New Roman" w:hAnsi="Times New Roman"/>
          <w:sz w:val="16"/>
          <w:szCs w:val="16"/>
          <w:color w:val="auto"/>
        </w:rPr>
      </w:pPr>
    </w:p>
    <w:p>
      <w:pPr>
        <w:ind w:left="1280" w:right="480" w:hanging="318"/>
        <w:spacing w:after="0" w:line="273" w:lineRule="auto"/>
        <w:tabs>
          <w:tab w:leader="none" w:pos="128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Date: February 5, 2026</w:t>
      </w: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 John F. Kober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18415</wp:posOffset>
            </wp:positionV>
            <wp:extent cx="17964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796415" cy="8255"/>
                    </a:xfrm>
                    <a:prstGeom prst="rect">
                      <a:avLst/>
                    </a:prstGeom>
                    <a:noFill/>
                  </pic:spPr>
                </pic:pic>
              </a:graphicData>
            </a:graphic>
          </wp:anchor>
        </w:drawing>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John F. Kober</w:t>
      </w:r>
    </w:p>
    <w:p>
      <w:pPr>
        <w:spacing w:after="0" w:line="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SVP and Chief Financial Officer</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40"/>
          </w:cols>
          <w:pgMar w:left="320" w:top="987" w:right="339" w:bottom="1440" w:gutter="0" w:footer="0" w:header="0"/>
        </w:sectPr>
      </w:pPr>
    </w:p>
    <w:bookmarkStart w:id="37" w:name="page38"/>
    <w:bookmarkEnd w:id="37"/>
    <w:p>
      <w:pPr>
        <w:ind w:left="10420"/>
        <w:spacing w:after="0"/>
        <w:rPr>
          <w:sz w:val="20"/>
          <w:szCs w:val="20"/>
          <w:color w:val="auto"/>
        </w:rPr>
      </w:pPr>
      <w:r>
        <w:rPr>
          <w:rFonts w:ascii="Times New Roman" w:cs="Times New Roman" w:eastAsia="Times New Roman" w:hAnsi="Times New Roman"/>
          <w:sz w:val="15"/>
          <w:szCs w:val="15"/>
          <w:b w:val="1"/>
          <w:bCs w:val="1"/>
          <w:color w:val="auto"/>
        </w:rPr>
        <w:t>Exhibit 32.1</w:t>
      </w:r>
    </w:p>
    <w:p>
      <w:pPr>
        <w:spacing w:after="0" w:line="168" w:lineRule="exact"/>
        <w:rPr>
          <w:sz w:val="20"/>
          <w:szCs w:val="20"/>
          <w:color w:val="auto"/>
        </w:rPr>
      </w:pPr>
    </w:p>
    <w:p>
      <w:pPr>
        <w:jc w:val="center"/>
        <w:spacing w:after="0" w:line="277"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94" w:lineRule="exact"/>
        <w:rPr>
          <w:sz w:val="20"/>
          <w:szCs w:val="20"/>
          <w:color w:val="auto"/>
        </w:rPr>
      </w:pPr>
    </w:p>
    <w:p>
      <w:pPr>
        <w:ind w:right="40" w:firstLine="177"/>
        <w:spacing w:after="0" w:line="255" w:lineRule="auto"/>
        <w:rPr>
          <w:sz w:val="20"/>
          <w:szCs w:val="20"/>
          <w:color w:val="auto"/>
        </w:rPr>
      </w:pPr>
      <w:r>
        <w:rPr>
          <w:rFonts w:ascii="Times New Roman" w:cs="Times New Roman" w:eastAsia="Times New Roman" w:hAnsi="Times New Roman"/>
          <w:sz w:val="18"/>
          <w:szCs w:val="18"/>
          <w:color w:val="auto"/>
        </w:rPr>
        <w:t>In connection with the Quarterly Report of MACOM Technology Solutions Holdings, Inc. (the “Company”) on Form 10-Q for the quarter ended January 2, 2026 as filed with the Securities and Exchange Commission on the date hereof (the “Report”), Stephen G. Daly, as President and Chief Executive Officer and Chair of the Board of the Company, and John F. Kober, as SVP and Chief Financial Officer of the Company, each hereby certifies, pursuant to and solely for the purpose of 18 U.S.C. Section 1350, as adopted pursuant to Section 906 of the Sarbanes-Oxley Act of 2002, that:</w:t>
      </w:r>
    </w:p>
    <w:p>
      <w:pPr>
        <w:spacing w:after="0" w:line="50" w:lineRule="exact"/>
        <w:rPr>
          <w:sz w:val="20"/>
          <w:szCs w:val="20"/>
          <w:color w:val="auto"/>
        </w:rPr>
      </w:pPr>
    </w:p>
    <w:p>
      <w:pPr>
        <w:ind w:left="660" w:hanging="255"/>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right="100" w:firstLine="405"/>
        <w:spacing w:after="0" w:line="275" w:lineRule="auto"/>
        <w:tabs>
          <w:tab w:leader="none" w:pos="6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 covered by the Report.</w:t>
      </w:r>
    </w:p>
    <w:p>
      <w:pPr>
        <w:spacing w:after="0" w:line="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Date: February 5, 2026</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/s/ Stephen G. 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15240</wp:posOffset>
            </wp:positionV>
            <wp:extent cx="28505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850515" cy="8255"/>
                    </a:xfrm>
                    <a:prstGeom prst="rect">
                      <a:avLst/>
                    </a:prstGeom>
                    <a:noFill/>
                  </pic:spPr>
                </pic:pic>
              </a:graphicData>
            </a:graphic>
          </wp:anchor>
        </w:drawing>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Stephen G. Daly</w:t>
      </w:r>
    </w:p>
    <w:p>
      <w:pPr>
        <w:spacing w:after="0" w:line="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President and Chief Executive Officer and Chair of the Board</w:t>
      </w:r>
    </w:p>
    <w:p>
      <w:pPr>
        <w:spacing w:after="0" w:line="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/s/ John F. Kober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15240</wp:posOffset>
            </wp:positionV>
            <wp:extent cx="28505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850515" cy="8255"/>
                    </a:xfrm>
                    <a:prstGeom prst="rect">
                      <a:avLst/>
                    </a:prstGeom>
                    <a:noFill/>
                  </pic:spPr>
                </pic:pic>
              </a:graphicData>
            </a:graphic>
          </wp:anchor>
        </w:drawing>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John F. Kober</w:t>
      </w:r>
    </w:p>
    <w:p>
      <w:pPr>
        <w:spacing w:after="0" w:line="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SVP and Chief Financial Officer</w:t>
      </w:r>
    </w:p>
    <w:p>
      <w:pPr>
        <w:spacing w:after="0" w:line="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9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01"/>
    </w:lvl>
  </w:abstractNum>
  <w:abstractNum w:abstractNumId="14">
    <w:nsid w:val="4E6AFB66"/>
    <w:multiLevelType w:val="hybridMultilevel"/>
    <w:lvl w:ilvl="0">
      <w:lvlJc w:val="left"/>
      <w:lvlText w:val="%1"/>
      <w:numFmt w:val="decimal"/>
      <w:start w:val="104"/>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52" Type="http://schemas.openxmlformats.org/officeDocument/2006/relationships/hyperlink" Target="https://www.sec.gov/Archives/edgar/data/1493594/000149359424000040/ex31fifthamendedandrestate.htm" TargetMode="External"/><Relationship Id="rId53" Type="http://schemas.openxmlformats.org/officeDocument/2006/relationships/hyperlink" Target="https://www.sec.gov/Archives/edgar/data/1493594/000149359423000008/mtsi-fourthamendedandres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2026-02-05T15:19:30Z</dcterms:created>
  <dcterms:modified xsi:type="dcterms:W3CDTF">2026-02-05T15:19:30Z</dcterms:modified>
</cp:coreProperties>
</file>