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742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74255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Kober John</w:t>
              </w:r>
            </w:hyperlink>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1"/>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MACOM Technology Solutions Holdings,</w:t>
              </w:r>
            </w:hyperlink>
          </w:p>
        </w:tc>
        <w:tc>
          <w:tcPr>
            <w:tcW w:w="1600" w:type="dxa"/>
            <w:vAlign w:val="bottom"/>
            <w:gridSpan w:val="4"/>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0000EE"/>
            </w:tcBorders>
            <w:gridSpan w:val="2"/>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Borders>
              <w:top w:val="single" w:sz="8" w:color="0000EE"/>
              <w:bottom w:val="single" w:sz="8" w:color="0000EE"/>
            </w:tcBorders>
            <w:gridSpan w:val="4"/>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line="148" w:lineRule="exact"/>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tcPr>
          <w:p>
            <w:pPr>
              <w:spacing w:after="0"/>
              <w:rPr>
                <w:sz w:val="5"/>
                <w:szCs w:val="5"/>
                <w:color w:val="auto"/>
              </w:rPr>
            </w:pPr>
          </w:p>
        </w:tc>
        <w:tc>
          <w:tcPr>
            <w:tcW w:w="1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line="139"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38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Senior VP and CFO</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MACOM TECHNOLOGY SOLUTIONS</w:t>
            </w:r>
          </w:p>
        </w:tc>
        <w:tc>
          <w:tcPr>
            <w:tcW w:w="80" w:type="dxa"/>
            <w:vAlign w:val="bottom"/>
          </w:tcPr>
          <w:p>
            <w:pPr>
              <w:spacing w:after="0"/>
              <w:rPr>
                <w:sz w:val="13"/>
                <w:szCs w:val="13"/>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8"/>
            <w:vMerge w:val="continue"/>
          </w:tcPr>
          <w:p>
            <w:pPr>
              <w:spacing w:after="0"/>
              <w:rPr>
                <w:sz w:val="7"/>
                <w:szCs w:val="7"/>
                <w:color w:val="auto"/>
              </w:rPr>
            </w:pPr>
          </w:p>
        </w:tc>
        <w:tc>
          <w:tcPr>
            <w:tcW w:w="80" w:type="dxa"/>
            <w:vAlign w:val="bottom"/>
          </w:tcPr>
          <w:p>
            <w:pPr>
              <w:spacing w:after="0"/>
              <w:rPr>
                <w:sz w:val="7"/>
                <w:szCs w:val="7"/>
                <w:color w:val="auto"/>
              </w:rPr>
            </w:pPr>
          </w:p>
        </w:tc>
        <w:tc>
          <w:tcPr>
            <w:tcW w:w="2900" w:type="dxa"/>
            <w:vAlign w:val="bottom"/>
            <w:gridSpan w:val="7"/>
            <w:vMerge w:val="continue"/>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HOLDINGS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100 CHELMSFORD STREET</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8"/>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LOWELL</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01851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6"/>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jc w:val="right"/>
              <w:ind w:right="497"/>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1340" w:type="dxa"/>
            <w:vAlign w:val="bottom"/>
            <w:gridSpan w:val="4"/>
          </w:tcPr>
          <w:p>
            <w:pPr>
              <w:ind w:left="2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7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4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6"/>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05/15/2026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V</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108</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138.13</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48,616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352.79</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337"/>
              <w:spacing w:after="0"/>
              <w:rPr>
                <w:sz w:val="20"/>
                <w:szCs w:val="20"/>
                <w:color w:val="auto"/>
              </w:rPr>
            </w:pPr>
            <w:r>
              <w:rPr>
                <w:rFonts w:ascii="Times New Roman" w:cs="Times New Roman" w:eastAsia="Times New Roman" w:hAnsi="Times New Roman"/>
                <w:sz w:val="17"/>
                <w:szCs w:val="17"/>
                <w:color w:val="0000FF"/>
              </w:rPr>
              <w:t>48,116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353.81</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47,316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354.83</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46,616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1,144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356.47</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45,472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357.59</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44,672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741</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359.01</w:t>
            </w:r>
            <w:r>
              <w:rPr>
                <w:rFonts w:ascii="Times New Roman" w:cs="Times New Roman" w:eastAsia="Times New Roman" w:hAnsi="Times New Roman"/>
                <w:sz w:val="22"/>
                <w:szCs w:val="22"/>
                <w:color w:val="008000"/>
                <w:w w:val="95"/>
                <w:vertAlign w:val="superscript"/>
              </w:rPr>
              <w:t>(8)</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43,931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759</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360.33</w:t>
            </w:r>
            <w:r>
              <w:rPr>
                <w:rFonts w:ascii="Times New Roman" w:cs="Times New Roman" w:eastAsia="Times New Roman" w:hAnsi="Times New Roman"/>
                <w:sz w:val="22"/>
                <w:szCs w:val="22"/>
                <w:color w:val="008000"/>
                <w:w w:val="95"/>
                <w:vertAlign w:val="superscript"/>
              </w:rPr>
              <w:t>(9)</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43,172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361.61</w:t>
            </w:r>
            <w:r>
              <w:rPr>
                <w:rFonts w:ascii="Times New Roman" w:cs="Times New Roman" w:eastAsia="Times New Roman" w:hAnsi="Times New Roman"/>
                <w:sz w:val="22"/>
                <w:szCs w:val="22"/>
                <w:color w:val="008000"/>
                <w:w w:val="94"/>
                <w:vertAlign w:val="superscript"/>
              </w:rPr>
              <w:t>(10)</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42,872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363</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362.96</w:t>
            </w:r>
            <w:r>
              <w:rPr>
                <w:rFonts w:ascii="Times New Roman" w:cs="Times New Roman" w:eastAsia="Times New Roman" w:hAnsi="Times New Roman"/>
                <w:sz w:val="22"/>
                <w:szCs w:val="22"/>
                <w:color w:val="008000"/>
                <w:w w:val="94"/>
                <w:vertAlign w:val="superscript"/>
              </w:rPr>
              <w:t>(11)</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42,509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537</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364.55</w:t>
            </w:r>
            <w:r>
              <w:rPr>
                <w:rFonts w:ascii="Times New Roman" w:cs="Times New Roman" w:eastAsia="Times New Roman" w:hAnsi="Times New Roman"/>
                <w:sz w:val="22"/>
                <w:szCs w:val="22"/>
                <w:color w:val="008000"/>
                <w:w w:val="94"/>
                <w:vertAlign w:val="superscript"/>
              </w:rPr>
              <w:t>(12)</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41,972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365.68</w:t>
            </w:r>
            <w:r>
              <w:rPr>
                <w:rFonts w:ascii="Times New Roman" w:cs="Times New Roman" w:eastAsia="Times New Roman" w:hAnsi="Times New Roman"/>
                <w:sz w:val="22"/>
                <w:szCs w:val="22"/>
                <w:color w:val="008000"/>
                <w:w w:val="94"/>
                <w:vertAlign w:val="superscript"/>
              </w:rPr>
              <w:t>(13)</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41,572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367.79</w:t>
            </w:r>
            <w:r>
              <w:rPr>
                <w:rFonts w:ascii="Times New Roman" w:cs="Times New Roman" w:eastAsia="Times New Roman" w:hAnsi="Times New Roman"/>
                <w:sz w:val="22"/>
                <w:szCs w:val="22"/>
                <w:color w:val="008000"/>
                <w:w w:val="94"/>
                <w:vertAlign w:val="superscript"/>
              </w:rPr>
              <w:t>(14)</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41,172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05/18/2026</w:t>
            </w:r>
          </w:p>
        </w:tc>
        <w:tc>
          <w:tcPr>
            <w:tcW w:w="3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377.7</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40,972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right"/>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5"/>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222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207"/>
              <w:spacing w:after="0" w:line="133" w:lineRule="exact"/>
              <w:rPr>
                <w:sz w:val="20"/>
                <w:szCs w:val="20"/>
                <w:color w:val="auto"/>
              </w:rPr>
            </w:pPr>
            <w:r>
              <w:rPr>
                <w:rFonts w:ascii="Arial" w:cs="Arial" w:eastAsia="Arial" w:hAnsi="Arial"/>
                <w:sz w:val="12"/>
                <w:szCs w:val="12"/>
                <w:b w:val="1"/>
                <w:bCs w:val="1"/>
                <w:color w:val="auto"/>
                <w:w w:val="93"/>
              </w:rPr>
              <w:t>8)</w:t>
            </w:r>
          </w:p>
        </w:tc>
        <w:tc>
          <w:tcPr>
            <w:tcW w:w="3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5"/>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Date</w:t>
            </w:r>
          </w:p>
        </w:tc>
        <w:tc>
          <w:tcPr>
            <w:tcW w:w="320" w:type="dxa"/>
            <w:vAlign w:val="bottom"/>
          </w:tcPr>
          <w:p>
            <w:pPr>
              <w:spacing w:after="0"/>
              <w:rPr>
                <w:sz w:val="11"/>
                <w:szCs w:val="11"/>
                <w:color w:val="auto"/>
              </w:rPr>
            </w:pP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4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40" w:type="dxa"/>
            <w:vAlign w:val="bottom"/>
            <w:gridSpan w:val="3"/>
          </w:tcPr>
          <w:p>
            <w:pPr>
              <w:ind w:left="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under the Issuer's Employee Stock Purchase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pursuant to a sales plan adopted by the Reporting Person on August 14, 2025 and intended to comply with Rule 10b5-1 under the Securities Exchange Act of 1934.</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$352.44 to $353.23.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$353.49 to $354.19. The Reporting Person undertakes to provide to the</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60"/>
        <w:spacing w:after="0" w:line="272" w:lineRule="auto"/>
        <w:rPr>
          <w:sz w:val="20"/>
          <w:szCs w:val="20"/>
          <w:color w:val="auto"/>
        </w:rPr>
      </w:pPr>
      <w:r>
        <w:rPr>
          <w:rFonts w:ascii="Times New Roman" w:cs="Times New Roman" w:eastAsia="Times New Roman" w:hAnsi="Times New Roman"/>
          <w:sz w:val="13"/>
          <w:szCs w:val="13"/>
          <w:color w:val="008000"/>
        </w:rPr>
        <w:t>Issuer, any shareholder of the Issuer, or the staff of the Securities and Exchange Commission, upon request, full information regarding the number of shares sold at each separate price within the range set forth in this footnote.</w:t>
      </w:r>
    </w:p>
    <w:p>
      <w:pPr>
        <w:spacing w:after="0" w:line="8" w:lineRule="exact"/>
        <w:rPr>
          <w:sz w:val="20"/>
          <w:szCs w:val="20"/>
          <w:color w:val="auto"/>
        </w:rPr>
      </w:pPr>
    </w:p>
    <w:p>
      <w:pPr>
        <w:jc w:val="both"/>
        <w:ind w:right="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$354.70 to $355.30.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$356.14 to $356.85.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$357.29 to $358.15.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$358.49 to $359.33.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$359.92 to $360.84.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$361.26 to $361.80.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$362.70 to $363.36.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$364.07 to $364.95.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$365.20 to $365.89.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$367.62 to $368.15.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17"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Ambra R. Roth,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8249" TargetMode="External"/><Relationship Id="rId14" Type="http://schemas.openxmlformats.org/officeDocument/2006/relationships/hyperlink" Target="http://www.sec.gov/cgi-bin/browse-edgar?action=getcompany&amp;CIK=00014935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2026-05-20T16:27:54Z</dcterms:created>
  <dcterms:modified xsi:type="dcterms:W3CDTF">2026-05-20T16:27:54Z</dcterms:modified>
</cp:coreProperties>
</file>