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center"/>
        <w:rPr>
          <w:rFonts w:ascii="Times New Roman;serif" w:hAnsi="Times New Roman;serif"/>
          <w:b/>
          <w:color w:val="000000"/>
          <w:sz w:val="36"/>
        </w:rPr>
      </w:pPr>
      <w:r>
        <w:rPr>
          <w:rFonts w:ascii="Times New Roman;serif" w:hAnsi="Times New Roman;serif"/>
          <w:b/>
          <w:color w:val="000000"/>
          <w:sz w:val="36"/>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6, 2026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center"/>
        <w:rPr>
          <w:rFonts w:ascii="Times New Roman;serif" w:hAnsi="Times New Roman;serif"/>
          <w:b/>
          <w:color w:val="000000"/>
          <w:sz w:val="48"/>
        </w:rPr>
      </w:pPr>
      <w:r>
        <w:rPr>
          <w:rFonts w:ascii="Times New Roman;serif" w:hAnsi="Times New Roman;serif"/>
          <w:b/>
          <w:color w:val="000000"/>
          <w:sz w:val="48"/>
        </w:rPr>
        <w:t xml:space="preserve">MACOM Technology Solutions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57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353"/>
        <w:gridCol w:w="353"/>
        <w:gridCol w:w="358"/>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27-0306875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1" w:type="dxa"/>
        <w:jc w:val="center"/>
        <w:tblInd w:w="0" w:type="dxa"/>
        <w:tblLayout w:type="fixed"/>
        <w:tblCellMar>
          <w:top w:w="28" w:type="dxa"/>
          <w:left w:w="28" w:type="dxa"/>
          <w:bottom w:w="28" w:type="dxa"/>
          <w:right w:w="28" w:type="dxa"/>
        </w:tblCellMar>
      </w:tblPr>
      <w:tblGrid>
        <w:gridCol w:w="1058"/>
        <w:gridCol w:w="932"/>
        <w:gridCol w:w="935"/>
        <w:gridCol w:w="109"/>
        <w:gridCol w:w="109"/>
        <w:gridCol w:w="109"/>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 Chelmsford Street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Lowell,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01851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(978) 656-2500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84"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991"/>
        <w:gridCol w:w="991"/>
        <w:gridCol w:w="1408"/>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MTSI</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tbl>
      <w:tblPr>
        <w:tblW w:w="10205" w:type="dxa"/>
        <w:jc w:val="center"/>
        <w:tblInd w:w="0" w:type="dxa"/>
        <w:tblLayout w:type="fixed"/>
        <w:tblCellMar>
          <w:top w:w="28" w:type="dxa"/>
          <w:left w:w="28" w:type="dxa"/>
          <w:bottom w:w="28" w:type="dxa"/>
          <w:right w:w="28" w:type="dxa"/>
        </w:tblCellMar>
      </w:tblPr>
      <w:tblGrid>
        <w:gridCol w:w="3559"/>
        <w:gridCol w:w="3132"/>
        <w:gridCol w:w="3141"/>
        <w:gridCol w:w="109"/>
        <w:gridCol w:w="109"/>
        <w:gridCol w:w="155"/>
      </w:tblGrid>
      <w:tr>
        <w:trPr/>
        <w:tc>
          <w:tcPr>
            <w:tcW w:w="3559"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c>
          <w:tcPr>
            <w:tcW w:w="3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MACOM Technology Solutions Holdings, Inc. issued a press release reporting its results of operations for the fiscal third quarter ended July 3, 2026. A copy of the press release is furnished as Exhibit 99.1 to this report.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2"/>
        <w:gridCol w:w="2670"/>
        <w:gridCol w:w="383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9"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_1earningsreleaseq3fy26.htm">
              <w:r>
                <w:rPr>
                  <w:rStyle w:val="InternetLink"/>
                  <w:rFonts w:ascii="Times New Roman;serif" w:hAnsi="Times New Roman;serif"/>
                  <w:b w:val="false"/>
                  <w:color w:val="0000FF"/>
                  <w:sz w:val="20"/>
                  <w:u w:val="single"/>
                </w:rPr>
                <w:t>Press Release, dated August 6, 2026, announcing results of operations for the fiscal third quarter ended July 3,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90"/>
        <w:gridCol w:w="606"/>
        <w:gridCol w:w="612"/>
        <w:gridCol w:w="109"/>
        <w:gridCol w:w="109"/>
        <w:gridCol w:w="109"/>
        <w:gridCol w:w="109"/>
        <w:gridCol w:w="109"/>
        <w:gridCol w:w="109"/>
        <w:gridCol w:w="109"/>
        <w:gridCol w:w="109"/>
        <w:gridCol w:w="109"/>
        <w:gridCol w:w="528"/>
        <w:gridCol w:w="528"/>
        <w:gridCol w:w="528"/>
        <w:gridCol w:w="528"/>
        <w:gridCol w:w="528"/>
        <w:gridCol w:w="528"/>
        <w:gridCol w:w="1204"/>
        <w:gridCol w:w="1193"/>
        <w:gridCol w:w="1751"/>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MACOM TECHNOLOGY SOLUTIONS HOLDINGS, INC.</w:t>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F. Kober</w:t>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F. Kober</w:t>
            </w:r>
          </w:p>
        </w:tc>
      </w:tr>
      <w:tr>
        <w:trPr/>
        <w:tc>
          <w:tcPr>
            <w:tcW w:w="1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right"/>
        <w:rPr/>
      </w:pPr>
      <w:r>
        <w:rPr/>
        <w:drawing>
          <wp:inline distT="0" distB="0" distL="0" distR="0">
            <wp:extent cx="176212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62125" cy="466725"/>
                    </a:xfrm>
                    <a:prstGeom prst="rect">
                      <a:avLst/>
                    </a:prstGeom>
                  </pic:spPr>
                </pic:pic>
              </a:graphicData>
            </a:graphic>
          </wp:inline>
        </w:drawing>
      </w:r>
    </w:p>
    <w:tbl>
      <w:tblPr>
        <w:tblW w:w="1695"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ind w:left="0" w:right="0" w:firstLine="720"/>
        <w:jc w:val="center"/>
        <w:rPr/>
      </w:pPr>
      <w:r>
        <w:rPr/>
      </w:r>
    </w:p>
    <w:p>
      <w:pPr>
        <w:pStyle w:val="TextBody"/>
        <w:bidi w:val="0"/>
        <w:spacing w:lineRule="auto" w:line="240" w:before="0" w:after="40"/>
        <w:jc w:val="center"/>
        <w:rPr>
          <w:rFonts w:ascii="Times New Roman;serif" w:hAnsi="Times New Roman;serif"/>
          <w:b/>
          <w:color w:val="000000"/>
          <w:sz w:val="36"/>
        </w:rPr>
      </w:pPr>
      <w:r>
        <w:rPr>
          <w:rFonts w:ascii="Times New Roman;serif" w:hAnsi="Times New Roman;serif"/>
          <w:b/>
          <w:color w:val="000000"/>
          <w:sz w:val="36"/>
        </w:rPr>
        <w:t>MACOM Reports Fiscal Third Quarter 2026 Financial Results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LOWELL, MA, August 6, 2026</w:t>
      </w:r>
      <w:r>
        <w:rPr>
          <w:color w:val="000000"/>
        </w:rPr>
        <w:t xml:space="preserve"> – </w:t>
      </w:r>
      <w:r>
        <w:rPr>
          <w:rFonts w:ascii="Times New Roman;serif" w:hAnsi="Times New Roman;serif"/>
          <w:b w:val="false"/>
          <w:color w:val="000000"/>
          <w:sz w:val="22"/>
        </w:rPr>
        <w:t>MACOM Technology Solutions Holdings, Inc. (“MACOM”) (Nasdaq: MTSI), a leading supplier of semiconductor products, today announced its financial results for its fiscal third quarter ended July 3, 2026.</w:t>
      </w:r>
    </w:p>
    <w:p>
      <w:pPr>
        <w:pStyle w:val="TextBody"/>
        <w:bidi w:val="0"/>
        <w:spacing w:lineRule="auto" w:line="288" w:before="220" w:after="100"/>
        <w:jc w:val="both"/>
        <w:rPr>
          <w:rFonts w:ascii="Times New Roman;serif" w:hAnsi="Times New Roman;serif"/>
          <w:b/>
          <w:color w:val="000000"/>
          <w:sz w:val="22"/>
        </w:rPr>
      </w:pPr>
      <w:r>
        <w:rPr>
          <w:rFonts w:ascii="Times New Roman;serif" w:hAnsi="Times New Roman;serif"/>
          <w:b/>
          <w:color w:val="000000"/>
          <w:sz w:val="22"/>
        </w:rPr>
        <w:t>Third Quarter Fiscal Year 2026 GAAP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Revenue was $342.2 million, an increase of 35.8%, compared to $252.1 million in the previous year fiscal third quarter and an increase of 18.4% compared to $289.0 million in the prior fiscal quarter;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Gross margin was 58.3%, compared to 55.3% in the previous year fiscal third quarter and 56.9% in the prior fiscal quarter;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Income from operations was $77.1 million, or 22.5% of revenue, compared to income from operations of $37.7 million, or 14.9% of revenue, in the previous year fiscal third quarter and income from operations of $50.8 million, or 17.6% of revenue, in the prior fiscal quarter;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income was $100.7 million, or $1.28 per diluted share, compared to net income of $36.5 million, or $0.48 per diluted share, in the previous year fiscal third quarter, and net income of $46.3 million, or $0.60 per diluted share, in the prior fiscal quarter.</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Third Quarter Fiscal Year 2026 Adjusted Non-GAAP Results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Adjusted gross margin was 59.7%, compared to 57.6% in the previous year fiscal third quarter and 58.5% in the prior fiscal quarter;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Adjusted income from operations was $107.7 million, or 31.5% of revenue, compared to adjusted income from operations of $63.5 million, or 25.2% of revenue, in the previous year fiscal third quarter and adjusted income from operations of $80.5 million, or 27.8% of revenue, in the prior fiscal quarter;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2"/>
        </w:rPr>
        <w:t>Adjusted net income was $109.8 million, or $1.40 per diluted share, compared to adjusted net income of $68.2 million, or $0.90</w:t>
      </w:r>
      <w:r>
        <w:rPr>
          <w:color w:val="000000"/>
        </w:rPr>
        <w:t xml:space="preserve"> </w:t>
      </w:r>
      <w:r>
        <w:rPr>
          <w:rFonts w:ascii="Times New Roman;serif" w:hAnsi="Times New Roman;serif"/>
          <w:b w:val="false"/>
          <w:color w:val="000000"/>
          <w:sz w:val="22"/>
        </w:rPr>
        <w:t>per diluted share, in the previous year fiscal third quarter and adjusted net income of $84.3 million, or $1.09 per diluted share, in the prior fiscal quarter.</w:t>
      </w:r>
    </w:p>
    <w:p>
      <w:pPr>
        <w:pStyle w:val="TextBody"/>
        <w:bidi w:val="0"/>
        <w:spacing w:lineRule="auto" w:line="288" w:before="100" w:after="100"/>
        <w:jc w:val="both"/>
        <w:rPr>
          <w:rFonts w:ascii="Times New Roman;serif" w:hAnsi="Times New Roman;serif"/>
          <w:b/>
          <w:color w:val="000000"/>
          <w:sz w:val="22"/>
        </w:rPr>
      </w:pPr>
      <w:r>
        <w:rPr>
          <w:rFonts w:ascii="Times New Roman;serif" w:hAnsi="Times New Roman;serif"/>
          <w:b/>
          <w:color w:val="000000"/>
          <w:sz w:val="22"/>
        </w:rPr>
        <w:t>Management Commentary</w:t>
      </w:r>
    </w:p>
    <w:p>
      <w:pPr>
        <w:pStyle w:val="TextBody"/>
        <w:bidi w:val="0"/>
        <w:spacing w:lineRule="auto" w:line="276" w:before="0" w:after="0"/>
        <w:jc w:val="both"/>
        <w:rPr>
          <w:color w:val="000000"/>
        </w:rPr>
      </w:pPr>
      <w:r>
        <w:rPr>
          <w:color w:val="000000"/>
        </w:rPr>
        <w:t>“</w:t>
      </w:r>
      <w:r>
        <w:rPr>
          <w:rFonts w:ascii="Times New Roman;serif" w:hAnsi="Times New Roman;serif"/>
          <w:b w:val="false"/>
          <w:color w:val="000000"/>
          <w:sz w:val="22"/>
        </w:rPr>
        <w:t xml:space="preserve">The MACOM team continues to make excellent progress executing our growth strategy,” said Stephen G. Daly, President and Chief Executive Officer, MACOM. </w:t>
      </w:r>
    </w:p>
    <w:p>
      <w:pPr>
        <w:pStyle w:val="TextBody"/>
        <w:bidi w:val="0"/>
        <w:spacing w:lineRule="auto" w:line="288" w:before="100" w:after="100"/>
        <w:jc w:val="left"/>
        <w:rPr>
          <w:rFonts w:ascii="Times New Roman;serif" w:hAnsi="Times New Roman;serif"/>
          <w:b/>
          <w:color w:val="000000"/>
          <w:sz w:val="22"/>
        </w:rPr>
      </w:pPr>
      <w:r>
        <w:rPr>
          <w:rFonts w:ascii="Times New Roman;serif" w:hAnsi="Times New Roman;serif"/>
          <w:b/>
          <w:color w:val="000000"/>
          <w:sz w:val="22"/>
        </w:rPr>
        <w:t>Business Outlook</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For the fiscal fourth quarter ending October 2, 2026, MACOM expects revenue to be in the range of $415 million to $425 million. Adjusted gross margin is expected to be between 60.0% and 61.0%, and adjusted earnings per diluted share is expected to be between $1.97 and $2.03 utilizing an anticipated non-GAAP income tax rate of 3% and 78.9 million fully diluted shares outstanding.</w:t>
      </w:r>
    </w:p>
    <w:p>
      <w:pPr>
        <w:pStyle w:val="TextBody"/>
        <w:bidi w:val="0"/>
        <w:spacing w:lineRule="auto" w:line="288" w:before="100" w:after="100"/>
        <w:jc w:val="both"/>
        <w:rPr>
          <w:rFonts w:ascii="Times New Roman;serif" w:hAnsi="Times New Roman;serif"/>
          <w:b/>
          <w:color w:val="000000"/>
          <w:sz w:val="22"/>
        </w:rPr>
      </w:pPr>
      <w:r>
        <w:rPr>
          <w:rFonts w:ascii="Times New Roman;serif" w:hAnsi="Times New Roman;serif"/>
          <w:b/>
          <w:color w:val="000000"/>
          <w:sz w:val="22"/>
        </w:rPr>
        <w:t>Conference Call</w:t>
      </w:r>
    </w:p>
    <w:p>
      <w:pPr>
        <w:pStyle w:val="TextBody"/>
        <w:bidi w:val="0"/>
        <w:spacing w:lineRule="auto" w:line="288"/>
        <w:jc w:val="both"/>
        <w:rPr/>
      </w:pPr>
      <w:r>
        <w:rPr>
          <w:rFonts w:ascii="Times New Roman;serif" w:hAnsi="Times New Roman;serif"/>
          <w:b w:val="false"/>
          <w:color w:val="000000"/>
          <w:sz w:val="22"/>
        </w:rPr>
        <w:t xml:space="preserve">MACOM will host a conference call on Thursday, August 6, 2026, at 8:30 a.m. Eastern Time to discuss its fiscal third quarter 2026 financial results and business outlook. Investors and analysts may visit MACOM's Investor Relations website at </w:t>
      </w:r>
      <w:r>
        <w:rPr>
          <w:rFonts w:ascii="Times New Roman;serif" w:hAnsi="Times New Roman;serif"/>
          <w:b w:val="false"/>
          <w:color w:val="0000FF"/>
          <w:sz w:val="22"/>
          <w:u w:val="single"/>
        </w:rPr>
        <w:t>https://ir.macom.com/events-webcasts</w:t>
      </w:r>
      <w:r>
        <w:rPr>
          <w:color w:val="000000"/>
        </w:rPr>
        <w:t xml:space="preserve"> </w:t>
      </w:r>
      <w:r>
        <w:rPr>
          <w:rFonts w:ascii="Times New Roman;serif" w:hAnsi="Times New Roman;serif"/>
          <w:b w:val="false"/>
          <w:color w:val="000000"/>
          <w:sz w:val="22"/>
        </w:rPr>
        <w:t>to register for a user-specific access code for the live call or to access the live webcast. A replay of the call will be available within 24 hours and remain accessible by all interested parties for approximately 90 days.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color w:val="000000"/>
          <w:sz w:val="22"/>
        </w:rPr>
      </w:pPr>
      <w:r>
        <w:rPr>
          <w:rFonts w:ascii="Times New Roman;serif" w:hAnsi="Times New Roman;serif"/>
          <w:b/>
          <w:color w:val="000000"/>
          <w:sz w:val="22"/>
        </w:rPr>
        <w:t>About MACOM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MACOM designs and manufactures high-performance semiconductor products for the Industrial and Defense, Data Center and Telecommunications industries. MACOM services over 6,000 customers annually with a broad product portfolio that incorporates RF, Microwave, Analog and Mixed Signal and Optical semiconductor technologies. MACOM has achieved certification to the IATF16949 automotive standard, the AS9100D aerospace standard, the ISO9001 international quality standard and the ISO14001 environmental management standard. MACOM operates facilities across the United States, Europe, Asia and is headquartered in Lowell, Massachusetts.</w:t>
      </w:r>
    </w:p>
    <w:p>
      <w:pPr>
        <w:pStyle w:val="TextBody"/>
        <w:bidi w:val="0"/>
        <w:spacing w:lineRule="auto" w:line="288" w:before="100" w:after="100"/>
        <w:jc w:val="left"/>
        <w:rPr>
          <w:rFonts w:ascii="Times New Roman;serif" w:hAnsi="Times New Roman;serif"/>
          <w:b/>
          <w:color w:val="000000"/>
          <w:sz w:val="22"/>
        </w:rPr>
      </w:pPr>
      <w:r>
        <w:rPr>
          <w:rFonts w:ascii="Times New Roman;serif" w:hAnsi="Times New Roman;serif"/>
          <w:b/>
          <w:color w:val="000000"/>
          <w:sz w:val="22"/>
        </w:rPr>
        <w:t>Special Note Regarding Forward-Looking Statements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and the associated earnings call contain forward-looking statements. These forward-looking statements include, among others, statements about MACOM’s strategic plans, priorities and long-term growth drivers, our ability to execute our long-term growth strategy, strengthen our position and drive market share gains and growth, our ability to develop new products and differentiated solutions, achieve market acceptance of those products and solutions and better address certain markets, expand our capabilities and extend our product offerings, including through our fabrication facility execution and continued improvements, our team’s capabilities and technologies and expansion and growth thereof and any potential financial benefits derived by and financial impact to MACOM therefrom, strength and competitiveness of new product introductions and technology portfolio expansion, including the anticipated rate of new product introductions and technology licensing and transfer activities, anticipated demand for our products, including backlog levels and book-to-bill trends, MACOM’s profitability, revenue targets, gross margin and operating margin improvements, end-market-specific revenue growth expectations, prospects and growth opportunities in our three primary markets, including the anticipated timing of production programs and associated revenues, the potential impact to our business of an economic downturn or recession, anticipated financial and business performance improvements, expectations regarding cash flow from operations and capital expenditures, our anticipated non-GAAP income tax rate and the expected impact of recent tax legislation thereon, MACOM’s strategic investment and other plans, including investments and agreements intended to further strengthen our supply chain and support our revenue growth, including the expected benefits of the Company’s recently completed investment in IQE plc, objectives, negotiation and finalization of a definitive agreement with, and receipt of, funding from the Federal and State governments, the estimated financial results for our 2026 fiscal fourth quarter and the stated business outlook and future results of operations. </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These forward-looking statements reflect MACOM’s current views about future events and are subject to risks, uncertainties, assumptions and changes in circumstances that may cause those events or our actual activities or results to differ materially from those indicated by the forward-looking statements, including statements regarding our business outlook, strategic plans and priorities, expectations, anticipated drivers of future revenue growth, our plans for use of our cash and cash equivalents and short-term investments, interest rate and foreign currency risks, our ability to meet working capital requirements, estimates and objectives for future operations, our future results of operations and our financial position; and those other factors described in “Risk Factors” in MACOM’s filings with the Securities and Exchange Commission (“SEC”), including its Annual Report on Form 10-K, its Quarterly Reports on Form 10-Q and other filings with the SEC. These forward-looking statements speak only as of the date of this press release, and MACOM undertakes no obligation to publicly update or revise any forward-looking statement, whether as a result of new information, future events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rFonts w:ascii="Times New Roman;serif" w:hAnsi="Times New Roman;serif"/>
          <w:b/>
          <w:color w:val="000000"/>
          <w:sz w:val="22"/>
        </w:rPr>
      </w:pPr>
      <w:r>
        <w:rPr>
          <w:rFonts w:ascii="Times New Roman;serif" w:hAnsi="Times New Roman;serif"/>
          <w:b/>
          <w:color w:val="000000"/>
          <w:sz w:val="22"/>
        </w:rPr>
        <w:t>Discussion Regarding the Use of Historical and Forward-Looking Non-GAAP Financial Measures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United States Generally Accepted Accounting Principles (“GAAP”) reporting, MACOM provides investors with financial measures that have not been calculated in accordance with GAAP, such as: non-GAAP gross profit and gross margin, non-GAAP operating expenses, non-GAAP income from operations and operating margin, non-GAAP EBITDA, non-GAAP net income, non-GAAP diluted earnings per share, non-GAAP diluted shares, non-GAAP income tax rate and non-GAAP interest income. In this release or elsewhere, we may alternatively refer to such non-GAAP measures as “adjusted” measures. This non-GAAP information excludes the effect, where applicable, of intangible amortization expense, share-based compensation expense, non-cash interest, net, acquisition and integration related costs, loss on debt extinguishment, and the tax effect of each non-GAAP adjustment.</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believes these excluded items are not reflective of our underlying performance and uses these non-GAAP financial measures to: evaluate our ongoing operating performance and compare it against prior periods, make operating decisions, forecast future periods, evaluate potential acquisitions, compare our operating performance against peer companies and assess certain compensation programs. We believe this non-GAAP financial information provides additional insight into our ongoing performance and have therefore chosen to provide this information to investors to help them evaluate the results of our ongoing operations and enable more meaningful period-to-period comparisons. These non-GAAP measures are provided in addition to, and not as a substitute for, or superior to, measures of financial performance prepared in accordance with GAAP. </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A reconciliation between GAAP and non-GAAP financial data is included in the supplemental financial data attached to this press release. We have not provided a reconciliation with respect to any forward-looking non-GAAP financial data presented because we do not have and cannot reliably estimate certain key inputs required to calculate the most comparable GAAP financial data, such as future acquisition costs, the possibility and impact of any litigation costs, changes in our GAAP effective tax rate and impairment charges. We believe these unknown inputs are likely to have a significant impact on any estimate of the comparable GAAP financial data.</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Investors are cautioned against placing undue reliance on non-GAAP financial measures and are urged to review and consider carefully the adjustments made by management to the most directly comparable 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may have limited value for purposes of drawing comparisons between companies because different companies may calculate similarly titled non-GAAP financial measures in different ways because non-GAAP measures are not based on any comprehensive set of accounting rules or principles.</w:t>
      </w:r>
    </w:p>
    <w:p>
      <w:pPr>
        <w:pStyle w:val="TextBody"/>
        <w:bidi w:val="0"/>
        <w:spacing w:lineRule="auto" w:line="288" w:before="0" w:after="0"/>
        <w:jc w:val="both"/>
        <w:rPr/>
      </w:pPr>
      <w:r>
        <w:rPr>
          <w:rFonts w:ascii="Times New Roman;serif" w:hAnsi="Times New Roman;serif"/>
          <w:b w:val="false"/>
          <w:i/>
          <w:color w:val="000000"/>
          <w:sz w:val="22"/>
        </w:rPr>
        <w:t>Additional information and management</w:t>
      </w:r>
      <w:r>
        <w:rPr>
          <w:color w:val="000000"/>
        </w:rPr>
        <w:t>’</w:t>
      </w:r>
      <w:r>
        <w:rPr>
          <w:rFonts w:ascii="Times New Roman;serif" w:hAnsi="Times New Roman;serif"/>
          <w:b w:val="false"/>
          <w:i/>
          <w:color w:val="000000"/>
          <w:sz w:val="22"/>
        </w:rPr>
        <w:t>s assessment regarding why certain items are excluded from our non-GAAP measures are summarized below:</w:t>
      </w:r>
    </w:p>
    <w:p>
      <w:pPr>
        <w:pStyle w:val="TextBody"/>
        <w:bidi w:val="0"/>
        <w:spacing w:lineRule="auto" w:line="288" w:before="160" w:after="283"/>
        <w:jc w:val="both"/>
        <w:rPr/>
      </w:pPr>
      <w:r>
        <w:rPr>
          <w:rFonts w:ascii="Times New Roman;serif" w:hAnsi="Times New Roman;serif"/>
          <w:b w:val="false"/>
          <w:i/>
          <w:color w:val="000000"/>
          <w:sz w:val="22"/>
        </w:rPr>
        <w:t xml:space="preserve">Amortization Expense </w:t>
      </w:r>
      <w:r>
        <w:rPr>
          <w:color w:val="000000"/>
        </w:rPr>
        <w:t xml:space="preserve">– </w:t>
      </w:r>
      <w:r>
        <w:rPr>
          <w:rFonts w:ascii="Times New Roman;serif" w:hAnsi="Times New Roman;serif"/>
          <w:b w:val="false"/>
          <w:color w:val="000000"/>
          <w:sz w:val="22"/>
        </w:rPr>
        <w:t>is related to acquired intangible assets which are based upon valuation methodologies and are generally amortized over the expected life of the intangible asset at the time of acquisition, which may result in amortization amounts that vary over time. This non-cash expense is not considered by management in making operating decisions.</w:t>
      </w:r>
    </w:p>
    <w:p>
      <w:pPr>
        <w:pStyle w:val="TextBody"/>
        <w:bidi w:val="0"/>
        <w:spacing w:lineRule="auto" w:line="288" w:before="160" w:after="283"/>
        <w:jc w:val="both"/>
        <w:rPr/>
      </w:pPr>
      <w:r>
        <w:rPr>
          <w:rFonts w:ascii="Times New Roman;serif" w:hAnsi="Times New Roman;serif"/>
          <w:b w:val="false"/>
          <w:i/>
          <w:color w:val="000000"/>
          <w:sz w:val="22"/>
        </w:rPr>
        <w:t>Share-Based Compensation Expense</w:t>
      </w:r>
      <w:r>
        <w:rPr>
          <w:color w:val="000000"/>
        </w:rPr>
        <w:t xml:space="preserve"> – </w:t>
      </w:r>
      <w:r>
        <w:rPr>
          <w:rFonts w:ascii="Times New Roman;serif" w:hAnsi="Times New Roman;serif"/>
          <w:b w:val="false"/>
          <w:color w:val="000000"/>
          <w:sz w:val="22"/>
        </w:rPr>
        <w:t>includes share-based compensation expense for awards that are equity and liability classified on our balance sheet and the related employer tax expense at vesting. Share-based compensation expense is partially outside of our control due to factors such as stock price volatility and interest rates, which may be unrelated to our operating performance during the period in which the expense is incurred. It is an expense based upon valuation methodologies and assumptions that vary over time, and the amount of the expense can vary significantly between companies. Share-based compensation expense amounts are not considered by management in making operating decisions.</w:t>
      </w:r>
    </w:p>
    <w:p>
      <w:pPr>
        <w:pStyle w:val="TextBody"/>
        <w:bidi w:val="0"/>
        <w:spacing w:lineRule="auto" w:line="288" w:before="160" w:after="283"/>
        <w:jc w:val="both"/>
        <w:rPr/>
      </w:pPr>
      <w:r>
        <w:rPr>
          <w:rFonts w:ascii="Times New Roman;serif" w:hAnsi="Times New Roman;serif"/>
          <w:b w:val="false"/>
          <w:i/>
          <w:color w:val="000000"/>
          <w:sz w:val="22"/>
        </w:rPr>
        <w:t>Non-cash Interest, Net</w:t>
      </w:r>
      <w:r>
        <w:rPr>
          <w:color w:val="000000"/>
        </w:rPr>
        <w:t xml:space="preserve"> – </w:t>
      </w:r>
      <w:r>
        <w:rPr>
          <w:rFonts w:ascii="Times New Roman;serif" w:hAnsi="Times New Roman;serif"/>
          <w:b w:val="false"/>
          <w:color w:val="000000"/>
          <w:sz w:val="22"/>
        </w:rPr>
        <w:t xml:space="preserve">includes amounts associated with the amortization of certain fees associated with the establishment or amendment of our convertible notes that are being amortized over the life of the agreements. We believe these amounts are non-cash in nature, are not correlated to future business operations and do not reflect our ongoing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pPr>
      <w:r>
        <w:rPr>
          <w:rFonts w:ascii="Times New Roman;serif" w:hAnsi="Times New Roman;serif"/>
          <w:b w:val="false"/>
          <w:i/>
          <w:color w:val="000000"/>
          <w:sz w:val="22"/>
        </w:rPr>
        <w:t>Acquisition and Integration Related Costs</w:t>
      </w:r>
      <w:r>
        <w:rPr>
          <w:color w:val="000000"/>
        </w:rPr>
        <w:t xml:space="preserve"> – </w:t>
      </w:r>
      <w:r>
        <w:rPr>
          <w:rFonts w:ascii="Times New Roman;serif" w:hAnsi="Times New Roman;serif"/>
          <w:b w:val="false"/>
          <w:color w:val="000000"/>
          <w:sz w:val="22"/>
        </w:rPr>
        <w:t>includes items such as professional fees, employee severance and other costs incurred in connection with acquisitions and integration specific activities which are not expected to have a continuing contribution to operations and the amortization of the fair market step-up value of acquired inventory and fixed assets. We believe the exclusion of these items is useful in providing management a basis to evaluate ongoing operating activities and strategic decision making.</w:t>
      </w:r>
    </w:p>
    <w:p>
      <w:pPr>
        <w:pStyle w:val="TextBody"/>
        <w:bidi w:val="0"/>
        <w:spacing w:lineRule="auto" w:line="288" w:before="160" w:after="283"/>
        <w:jc w:val="both"/>
        <w:rPr/>
      </w:pPr>
      <w:r>
        <w:rPr>
          <w:rFonts w:ascii="Times New Roman;serif" w:hAnsi="Times New Roman;serif"/>
          <w:b w:val="false"/>
          <w:i/>
          <w:color w:val="000000"/>
          <w:sz w:val="22"/>
          <w:shd w:fill="FFFFFF" w:val="clear"/>
        </w:rPr>
        <w:t>Loss on Debt Extinguishment</w:t>
      </w:r>
      <w:r>
        <w:rPr>
          <w:color w:val="000000"/>
          <w:shd w:fill="FFFFFF" w:val="clear"/>
        </w:rPr>
        <w:t xml:space="preserve"> – </w:t>
      </w:r>
      <w:r>
        <w:rPr>
          <w:rFonts w:ascii="Times New Roman;serif" w:hAnsi="Times New Roman;serif"/>
          <w:b w:val="false"/>
          <w:color w:val="000000"/>
          <w:sz w:val="22"/>
          <w:shd w:fill="FFFFFF" w:val="clear"/>
        </w:rPr>
        <w:t>includes loss on exchange of our convertible notes. This fiscal year 2025 loss is primarily non-cash and we do not believe this amount is reflective of our ongoing operations.</w:t>
      </w:r>
    </w:p>
    <w:p>
      <w:pPr>
        <w:pStyle w:val="TextBody"/>
        <w:bidi w:val="0"/>
        <w:spacing w:lineRule="auto" w:line="288" w:before="160" w:after="283"/>
        <w:jc w:val="both"/>
        <w:rPr/>
      </w:pPr>
      <w:r>
        <w:rPr>
          <w:rFonts w:ascii="Times New Roman;serif" w:hAnsi="Times New Roman;serif"/>
          <w:b w:val="false"/>
          <w:i/>
          <w:color w:val="000000"/>
          <w:sz w:val="22"/>
        </w:rPr>
        <w:t>Gains/Losses on Investment Fair Value, Net</w:t>
      </w:r>
      <w:r>
        <w:rPr>
          <w:color w:val="000000"/>
        </w:rPr>
        <w:t xml:space="preserve"> – </w:t>
      </w:r>
      <w:r>
        <w:rPr>
          <w:rFonts w:ascii="Times New Roman;serif" w:hAnsi="Times New Roman;serif"/>
          <w:b w:val="false"/>
          <w:color w:val="000000"/>
          <w:sz w:val="22"/>
        </w:rPr>
        <w:t>includes unrealized gains or losses recognized associated with long-term investments that are recorded at fair value. These gains and losses are driven by changes in the market value of the underlying investments, are generally noncash in nature, and may vary from period to period due to factors unrelated to our operating activities. We believe these amounts are not correlated with our ongoing operations and are not considered by management in making operating decisions.</w:t>
      </w:r>
    </w:p>
    <w:p>
      <w:pPr>
        <w:pStyle w:val="TextBody"/>
        <w:bidi w:val="0"/>
        <w:spacing w:lineRule="auto" w:line="288" w:before="160" w:after="283"/>
        <w:jc w:val="both"/>
        <w:rPr/>
      </w:pPr>
      <w:r>
        <w:rPr>
          <w:rFonts w:ascii="Times New Roman;serif" w:hAnsi="Times New Roman;serif"/>
          <w:b w:val="false"/>
          <w:i/>
          <w:color w:val="000000"/>
          <w:sz w:val="22"/>
        </w:rPr>
        <w:t xml:space="preserve">Tax Effect of Non-GAAP Adjustments </w:t>
      </w:r>
      <w:r>
        <w:rPr>
          <w:color w:val="000000"/>
        </w:rPr>
        <w:t xml:space="preserve">– </w:t>
      </w:r>
      <w:r>
        <w:rPr>
          <w:rFonts w:ascii="Times New Roman;serif" w:hAnsi="Times New Roman;serif"/>
          <w:b w:val="false"/>
          <w:color w:val="000000"/>
          <w:sz w:val="22"/>
        </w:rPr>
        <w:t>includes adjustments to arrive at an estimate of our non-GAAP income tax rate associated with our non-GAAP income over a period of time. We determine our non-GAAP income tax rate using applicable rates in taxing jurisdictions and assessing certain factors including our historical and forecast earnings by jurisdiction, discrete items, cash taxes paid in relation to our non-GAAP net income before income taxes and our ability to realize tax assets. We generally assess this non-GAAP income tax rate quarterly and have utilized 3% for our first three fiscal quarters of fiscal year 2026 and for our fiscal year 2025. Our historical effective income tax rate under GAAP has varied significantly from our non-GAAP income tax rate due primarily to income taxed in foreign jurisdictions at generally lower tax rates, research and development tax credits and acquisition expenses. We believe it is beneficial for management to review our non-GAAP income tax rate on a consistent basis over periods of time. Items such as those noted above may have a significant impact on our GAAP income tax expense and associated effective tax rate over time.</w:t>
      </w:r>
    </w:p>
    <w:p>
      <w:pPr>
        <w:pStyle w:val="TextBody"/>
        <w:bidi w:val="0"/>
        <w:spacing w:lineRule="auto" w:line="288" w:before="160" w:after="283"/>
        <w:jc w:val="both"/>
        <w:rPr/>
      </w:pPr>
      <w:r>
        <w:rPr>
          <w:rFonts w:ascii="Times New Roman;serif" w:hAnsi="Times New Roman;serif"/>
          <w:b w:val="false"/>
          <w:i/>
          <w:color w:val="000000"/>
          <w:sz w:val="22"/>
        </w:rPr>
        <w:t>Adjusted EBITDA</w:t>
      </w:r>
      <w:r>
        <w:rPr>
          <w:color w:val="000000"/>
        </w:rPr>
        <w:t xml:space="preserve"> – </w:t>
      </w:r>
      <w:r>
        <w:rPr>
          <w:rFonts w:ascii="Times New Roman;serif" w:hAnsi="Times New Roman;serif"/>
          <w:b w:val="false"/>
          <w:color w:val="000000"/>
          <w:sz w:val="22"/>
        </w:rPr>
        <w:t>is a calculation that adds depreciation expense to our adjusted income from operations. Management reviews and utilizes this measure for operational analysis purposes. We believe competitors and others in the financial industry also utilize this measure for analysis purposes.</w:t>
      </w:r>
    </w:p>
    <w:p>
      <w:pPr>
        <w:pStyle w:val="TextBody"/>
        <w:bidi w:val="0"/>
        <w:spacing w:lineRule="auto" w:line="288" w:before="160" w:after="283"/>
        <w:jc w:val="both"/>
        <w:rPr/>
      </w:pPr>
      <w:r>
        <w:rPr>
          <w:rFonts w:ascii="Times New Roman;serif" w:hAnsi="Times New Roman;serif"/>
          <w:b w:val="false"/>
          <w:i/>
          <w:color w:val="000000"/>
          <w:sz w:val="22"/>
        </w:rPr>
        <w:t>Incremental Shares</w:t>
      </w:r>
      <w:r>
        <w:rPr>
          <w:color w:val="000000"/>
        </w:rPr>
        <w:t xml:space="preserve"> – </w:t>
      </w:r>
      <w:r>
        <w:rPr>
          <w:rFonts w:ascii="Times New Roman;serif" w:hAnsi="Times New Roman;serif"/>
          <w:b w:val="false"/>
          <w:color w:val="000000"/>
          <w:sz w:val="22"/>
        </w:rPr>
        <w:t>is the number of potential shares of common stock issuable upon the exercise of stock options, restricted stock, restricted stock units and conversion of convertible debt which were not included in the calculation of our GAAP diluted shares. We believe competitors and others in the financial industry utilize this non-GAAP measure for analysis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Company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MACOM Technology Solutions Holdings,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Stephen Ferranti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Development and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 978-656-2977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 stephen.ferranti@macom.com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MACOM TECHNOLOGY SOLUTIONS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OPERATIONS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(unaudited and in thousands, except per share data)</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191" w:type="dxa"/>
        <w:jc w:val="center"/>
        <w:tblInd w:w="0" w:type="dxa"/>
        <w:tblLayout w:type="fixed"/>
        <w:tblCellMar>
          <w:top w:w="28" w:type="dxa"/>
          <w:left w:w="28" w:type="dxa"/>
          <w:bottom w:w="28" w:type="dxa"/>
          <w:right w:w="28" w:type="dxa"/>
        </w:tblCellMar>
      </w:tblPr>
      <w:tblGrid>
        <w:gridCol w:w="933"/>
        <w:gridCol w:w="820"/>
        <w:gridCol w:w="827"/>
        <w:gridCol w:w="196"/>
        <w:gridCol w:w="736"/>
        <w:gridCol w:w="109"/>
        <w:gridCol w:w="109"/>
        <w:gridCol w:w="109"/>
        <w:gridCol w:w="109"/>
        <w:gridCol w:w="206"/>
        <w:gridCol w:w="774"/>
        <w:gridCol w:w="114"/>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902,804 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706,088 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164,433 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113,602 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50,831 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other income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(174,984)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56,923 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46,331 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MACOM TECHNOLOGY SOLUTIONS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BALANCE SHEETS </w:t>
      </w:r>
    </w:p>
    <w:p>
      <w:pPr>
        <w:pStyle w:val="TextBody"/>
        <w:bidi w:val="0"/>
        <w:spacing w:lineRule="auto" w:line="288" w:before="0" w:after="0"/>
        <w:jc w:val="center"/>
        <w:rPr/>
      </w:pPr>
      <w:r>
        <w:rPr>
          <w:rFonts w:ascii="Times New Roman;serif" w:hAnsi="Times New Roman;serif"/>
          <w:b w:val="false"/>
          <w:i/>
          <w:color w:val="000000"/>
          <w:sz w:val="24"/>
        </w:rPr>
        <w:t xml:space="preserve">(unaudited and </w:t>
      </w:r>
      <w:r>
        <w:rPr>
          <w:rFonts w:ascii="Times New Roman;serif" w:hAnsi="Times New Roman;serif"/>
          <w:b w:val="false"/>
          <w:i/>
          <w:color w:val="000000"/>
          <w:sz w:val="22"/>
        </w:rPr>
        <w:t>in thousands)</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796" w:type="dxa"/>
        <w:jc w:val="center"/>
        <w:tblInd w:w="0" w:type="dxa"/>
        <w:tblLayout w:type="fixed"/>
        <w:tblCellMar>
          <w:top w:w="28" w:type="dxa"/>
          <w:left w:w="28" w:type="dxa"/>
          <w:bottom w:w="28" w:type="dxa"/>
          <w:right w:w="28" w:type="dxa"/>
        </w:tblCellMar>
      </w:tblPr>
      <w:tblGrid>
        <w:gridCol w:w="1426"/>
        <w:gridCol w:w="1257"/>
        <w:gridCol w:w="1261"/>
        <w:gridCol w:w="196"/>
        <w:gridCol w:w="871"/>
        <w:gridCol w:w="109"/>
        <w:gridCol w:w="109"/>
        <w:gridCol w:w="109"/>
        <w:gridCol w:w="109"/>
        <w:gridCol w:w="216"/>
        <w:gridCol w:w="963"/>
        <w:gridCol w:w="170"/>
      </w:tblGrid>
      <w:tr>
        <w:trPr/>
        <w:tc>
          <w:tcPr>
            <w:tcW w:w="142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673,833 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Inventories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Prepaid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1,205,088 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Goodwill and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Long-term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long-term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2,103,360 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88" w:before="0" w:after="200"/>
              <w:jc w:val="left"/>
              <w:rPr/>
            </w:pPr>
            <w:r>
              <w:rPr>
                <w:color w:val="000000"/>
              </w:rPr>
              <w:t> </w:t>
            </w:r>
            <w:r>
              <w:rPr>
                <w:rFonts w:ascii="Times New Roman;serif" w:hAnsi="Times New Roman;serif"/>
                <w:b w:val="false"/>
                <w:color w:val="000000"/>
                <w:sz w:val="18"/>
              </w:rPr>
              <w:t>LIABILITIES AND STOCKHOLDERS</w:t>
            </w:r>
            <w:r>
              <w:rPr>
                <w:color w:val="000000"/>
              </w:rPr>
              <w:t xml:space="preserve">’ </w:t>
            </w:r>
            <w:r>
              <w:rPr>
                <w:rFonts w:ascii="Times New Roman;serif" w:hAnsi="Times New Roman;serif"/>
                <w:b w:val="false"/>
                <w:color w:val="000000"/>
                <w:sz w:val="18"/>
              </w:rPr>
              <w:t>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325,119 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Finance lease obligations, less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Financing obligation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Long-term debt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339,630 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776,265 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88" w:before="0" w:after="200"/>
              <w:jc w:val="left"/>
              <w:rPr/>
            </w:pPr>
            <w:r>
              <w:rPr>
                <w:rFonts w:ascii="Times New Roman;serif" w:hAnsi="Times New Roman;serif"/>
                <w:b w:val="false"/>
                <w:color w:val="000000"/>
                <w:sz w:val="18"/>
              </w:rPr>
              <w:t>Stockholders</w:t>
            </w:r>
            <w:r>
              <w:rPr>
                <w:color w:val="000000"/>
              </w:rPr>
              <w:t xml:space="preserve">’ </w:t>
            </w:r>
            <w:r>
              <w:rPr>
                <w:rFonts w:ascii="Times New Roman;serif" w:hAnsi="Times New Roman;serif"/>
                <w:b w:val="false"/>
                <w:color w:val="000000"/>
                <w:sz w:val="18"/>
              </w:rPr>
              <w:t>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1,327,095 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Total liabilities and stockholders</w:t>
            </w:r>
            <w:r>
              <w:rPr>
                <w:color w:val="000000"/>
              </w:rPr>
              <w:t xml:space="preserve">’ </w:t>
            </w:r>
            <w:r>
              <w:rPr>
                <w:rFonts w:ascii="Times New Roman;serif" w:hAnsi="Times New Roman;serif"/>
                <w:b w:val="false"/>
                <w:color w:val="000000"/>
                <w:sz w:val="18"/>
              </w:rPr>
              <w:t>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2,146,769 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2,103,360 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MACOM TECHNOLOGY SOLUTIONS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CONDENSED CONSOLIDATED STATEMENTS OF CASH FLOWS </w:t>
      </w:r>
    </w:p>
    <w:p>
      <w:pPr>
        <w:pStyle w:val="TextBody"/>
        <w:bidi w:val="0"/>
        <w:spacing w:lineRule="auto" w:line="288" w:before="0" w:after="0"/>
        <w:jc w:val="center"/>
        <w:rPr/>
      </w:pPr>
      <w:r>
        <w:rPr>
          <w:rFonts w:ascii="Times New Roman;serif" w:hAnsi="Times New Roman;serif"/>
          <w:b w:val="false"/>
          <w:i/>
          <w:color w:val="000000"/>
          <w:sz w:val="22"/>
        </w:rPr>
        <w:t>(unaudited and in thousands)</w:t>
      </w:r>
      <w:r>
        <w:rPr>
          <w:color w:val="000000"/>
        </w:rPr>
        <w:t xml:space="preserve">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568" w:type="dxa"/>
        <w:jc w:val="center"/>
        <w:tblInd w:w="0" w:type="dxa"/>
        <w:tblLayout w:type="fixed"/>
        <w:tblCellMar>
          <w:top w:w="28" w:type="dxa"/>
          <w:left w:w="28" w:type="dxa"/>
          <w:bottom w:w="28" w:type="dxa"/>
          <w:right w:w="28" w:type="dxa"/>
        </w:tblCellMar>
      </w:tblPr>
      <w:tblGrid>
        <w:gridCol w:w="1855"/>
        <w:gridCol w:w="1628"/>
        <w:gridCol w:w="1631"/>
        <w:gridCol w:w="196"/>
        <w:gridCol w:w="736"/>
        <w:gridCol w:w="109"/>
        <w:gridCol w:w="109"/>
        <w:gridCol w:w="109"/>
        <w:gridCol w:w="109"/>
        <w:gridCol w:w="196"/>
        <w:gridCol w:w="736"/>
        <w:gridCol w:w="154"/>
      </w:tblGrid>
      <w:tr>
        <w:trPr/>
        <w:tc>
          <w:tcPr>
            <w:tcW w:w="185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4, 2025</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intangible asset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other operating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purchases and maturities of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long-term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software licenses and licensed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under financing arrangement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(246,131)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convertible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leases and other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and employee stock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taxes on employee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convertible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financing arrangement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fee on convertible note exchange and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effect on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MACOM TECHNOLOGY SOLUTIONS HOLDINGS,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RECONCILIATIONS OF GAAP TO NON-GAAP RESULTS</w:t>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(unaudited and in thousands, except per share data)</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5"/>
        <w:gridCol w:w="452"/>
        <w:gridCol w:w="401"/>
        <w:gridCol w:w="181"/>
        <w:gridCol w:w="616"/>
        <w:gridCol w:w="109"/>
        <w:gridCol w:w="275"/>
        <w:gridCol w:w="275"/>
        <w:gridCol w:w="276"/>
        <w:gridCol w:w="181"/>
        <w:gridCol w:w="616"/>
        <w:gridCol w:w="109"/>
        <w:gridCol w:w="275"/>
        <w:gridCol w:w="275"/>
        <w:gridCol w:w="276"/>
        <w:gridCol w:w="181"/>
        <w:gridCol w:w="616"/>
        <w:gridCol w:w="109"/>
        <w:gridCol w:w="275"/>
        <w:gridCol w:w="275"/>
        <w:gridCol w:w="276"/>
        <w:gridCol w:w="181"/>
        <w:gridCol w:w="616"/>
        <w:gridCol w:w="109"/>
        <w:gridCol w:w="275"/>
        <w:gridCol w:w="275"/>
        <w:gridCol w:w="276"/>
        <w:gridCol w:w="181"/>
        <w:gridCol w:w="616"/>
        <w:gridCol w:w="109"/>
        <w:gridCol w:w="255"/>
        <w:gridCol w:w="255"/>
        <w:gridCol w:w="363"/>
      </w:tblGrid>
      <w:tr>
        <w:trPr/>
        <w:tc>
          <w:tcPr>
            <w:tcW w:w="64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196" w:type="dxa"/>
            <w:gridSpan w:val="18"/>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511" w:type="dxa"/>
            <w:gridSpan w:val="12"/>
            <w:tcBorders>
              <w:top w:val="single" w:sz="8" w:space="0" w:color="000000"/>
              <w:left w:val="single" w:sz="8" w:space="0" w:color="000000"/>
              <w:bottom w:val="single" w:sz="8" w:space="0" w:color="000000"/>
              <w:right w:val="single" w:sz="8" w:space="0" w:color="000000"/>
            </w:tcBorders>
            <w:shd w:fill="FFFFFF" w:val="clear"/>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r>
      <w:tr>
        <w:trPr/>
        <w:tc>
          <w:tcPr>
            <w:tcW w:w="149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7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April 3, 2026</w:t>
            </w:r>
          </w:p>
        </w:tc>
        <w:tc>
          <w:tcPr>
            <w:tcW w:w="17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c>
          <w:tcPr>
            <w:tcW w:w="17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779"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73"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Gross profit - GAAP</w:t>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386,701 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54.8 </w:t>
            </w:r>
          </w:p>
        </w:tc>
        <w:tc>
          <w:tcPr>
            <w:tcW w:w="363"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expense</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36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36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integration related costs</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0.3 </w:t>
            </w:r>
          </w:p>
        </w:tc>
        <w:tc>
          <w:tcPr>
            <w:tcW w:w="36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gross profit (Non-GAAP)</w:t>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59.7 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169,041 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529,760 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406,151 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57.5 </w:t>
            </w:r>
          </w:p>
        </w:tc>
        <w:tc>
          <w:tcPr>
            <w:tcW w:w="363" w:type="dxa"/>
            <w:tcBorders>
              <w:top w:val="single" w:sz="8" w:space="0" w:color="000000"/>
              <w:bottom w:val="double" w:sz="8" w:space="0" w:color="000000"/>
              <w:right w:val="single" w:sz="8" w:space="0" w:color="000000"/>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1"/>
        <w:gridCol w:w="427"/>
        <w:gridCol w:w="430"/>
        <w:gridCol w:w="181"/>
        <w:gridCol w:w="616"/>
        <w:gridCol w:w="109"/>
        <w:gridCol w:w="275"/>
        <w:gridCol w:w="275"/>
        <w:gridCol w:w="276"/>
        <w:gridCol w:w="181"/>
        <w:gridCol w:w="616"/>
        <w:gridCol w:w="109"/>
        <w:gridCol w:w="275"/>
        <w:gridCol w:w="275"/>
        <w:gridCol w:w="276"/>
        <w:gridCol w:w="181"/>
        <w:gridCol w:w="616"/>
        <w:gridCol w:w="109"/>
        <w:gridCol w:w="275"/>
        <w:gridCol w:w="275"/>
        <w:gridCol w:w="276"/>
        <w:gridCol w:w="181"/>
        <w:gridCol w:w="616"/>
        <w:gridCol w:w="109"/>
        <w:gridCol w:w="275"/>
        <w:gridCol w:w="275"/>
        <w:gridCol w:w="276"/>
        <w:gridCol w:w="181"/>
        <w:gridCol w:w="616"/>
        <w:gridCol w:w="109"/>
        <w:gridCol w:w="255"/>
        <w:gridCol w:w="255"/>
        <w:gridCol w:w="363"/>
      </w:tblGrid>
      <w:tr>
        <w:trPr/>
        <w:tc>
          <w:tcPr>
            <w:tcW w:w="64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196" w:type="dxa"/>
            <w:gridSpan w:val="18"/>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511" w:type="dxa"/>
            <w:gridSpan w:val="12"/>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r>
      <w:tr>
        <w:trPr/>
        <w:tc>
          <w:tcPr>
            <w:tcW w:w="149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7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April 3, 2026</w:t>
            </w:r>
          </w:p>
        </w:tc>
        <w:tc>
          <w:tcPr>
            <w:tcW w:w="17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c>
          <w:tcPr>
            <w:tcW w:w="17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779"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73"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expenses - GAAP</w:t>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42.0 </w:t>
            </w:r>
          </w:p>
        </w:tc>
        <w:tc>
          <w:tcPr>
            <w:tcW w:w="363"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expense</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(0.9)</w:t>
            </w:r>
          </w:p>
        </w:tc>
        <w:tc>
          <w:tcPr>
            <w:tcW w:w="36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w:t>
            </w:r>
          </w:p>
        </w:tc>
        <w:tc>
          <w:tcPr>
            <w:tcW w:w="36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integration related costs</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(0.3)</w:t>
            </w:r>
          </w:p>
        </w:tc>
        <w:tc>
          <w:tcPr>
            <w:tcW w:w="36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operating expenses (Non-GAAP)</w:t>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96,533 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267,621 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227,409 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32.2 </w:t>
            </w:r>
          </w:p>
        </w:tc>
        <w:tc>
          <w:tcPr>
            <w:tcW w:w="363" w:type="dxa"/>
            <w:tcBorders>
              <w:top w:val="single" w:sz="8" w:space="0" w:color="000000"/>
              <w:bottom w:val="double" w:sz="8" w:space="0" w:color="000000"/>
              <w:right w:val="single" w:sz="8" w:space="0" w:color="000000"/>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72"/>
        <w:gridCol w:w="486"/>
        <w:gridCol w:w="490"/>
        <w:gridCol w:w="181"/>
        <w:gridCol w:w="616"/>
        <w:gridCol w:w="109"/>
        <w:gridCol w:w="275"/>
        <w:gridCol w:w="275"/>
        <w:gridCol w:w="276"/>
        <w:gridCol w:w="181"/>
        <w:gridCol w:w="541"/>
        <w:gridCol w:w="109"/>
        <w:gridCol w:w="275"/>
        <w:gridCol w:w="275"/>
        <w:gridCol w:w="276"/>
        <w:gridCol w:w="181"/>
        <w:gridCol w:w="541"/>
        <w:gridCol w:w="109"/>
        <w:gridCol w:w="275"/>
        <w:gridCol w:w="275"/>
        <w:gridCol w:w="276"/>
        <w:gridCol w:w="181"/>
        <w:gridCol w:w="616"/>
        <w:gridCol w:w="109"/>
        <w:gridCol w:w="275"/>
        <w:gridCol w:w="275"/>
        <w:gridCol w:w="276"/>
        <w:gridCol w:w="181"/>
        <w:gridCol w:w="616"/>
        <w:gridCol w:w="109"/>
        <w:gridCol w:w="255"/>
        <w:gridCol w:w="255"/>
        <w:gridCol w:w="363"/>
      </w:tblGrid>
      <w:tr>
        <w:trPr/>
        <w:tc>
          <w:tcPr>
            <w:tcW w:w="67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046" w:type="dxa"/>
            <w:gridSpan w:val="18"/>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511" w:type="dxa"/>
            <w:gridSpan w:val="12"/>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r>
      <w:tr>
        <w:trPr/>
        <w:tc>
          <w:tcPr>
            <w:tcW w:w="164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65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April 3, 2026</w:t>
            </w:r>
          </w:p>
        </w:tc>
        <w:tc>
          <w:tcPr>
            <w:tcW w:w="165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c>
          <w:tcPr>
            <w:tcW w:w="17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779"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8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8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73"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from operations - GAAP</w:t>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363"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expense</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36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6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integration related costs</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363"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income from operations (Non-GAAP)</w:t>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25.3 </w:t>
            </w:r>
          </w:p>
        </w:tc>
        <w:tc>
          <w:tcPr>
            <w:tcW w:w="363"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right w:val="single" w:sz="8" w:space="0" w:color="000000"/>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expense</w:t>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363"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EBITDA (Non-GAAP)</w:t>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89,465 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288,829 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199,141 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28.2 </w:t>
            </w:r>
          </w:p>
        </w:tc>
        <w:tc>
          <w:tcPr>
            <w:tcW w:w="363" w:type="dxa"/>
            <w:tcBorders>
              <w:top w:val="single" w:sz="8" w:space="0" w:color="000000"/>
              <w:bottom w:val="doub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69"/>
        <w:gridCol w:w="444"/>
        <w:gridCol w:w="436"/>
        <w:gridCol w:w="181"/>
        <w:gridCol w:w="616"/>
        <w:gridCol w:w="109"/>
        <w:gridCol w:w="275"/>
        <w:gridCol w:w="275"/>
        <w:gridCol w:w="276"/>
        <w:gridCol w:w="181"/>
        <w:gridCol w:w="541"/>
        <w:gridCol w:w="109"/>
        <w:gridCol w:w="275"/>
        <w:gridCol w:w="275"/>
        <w:gridCol w:w="276"/>
        <w:gridCol w:w="181"/>
        <w:gridCol w:w="541"/>
        <w:gridCol w:w="109"/>
        <w:gridCol w:w="275"/>
        <w:gridCol w:w="275"/>
        <w:gridCol w:w="276"/>
        <w:gridCol w:w="181"/>
        <w:gridCol w:w="616"/>
        <w:gridCol w:w="109"/>
        <w:gridCol w:w="275"/>
        <w:gridCol w:w="275"/>
        <w:gridCol w:w="276"/>
        <w:gridCol w:w="181"/>
        <w:gridCol w:w="616"/>
        <w:gridCol w:w="109"/>
        <w:gridCol w:w="255"/>
        <w:gridCol w:w="255"/>
        <w:gridCol w:w="362"/>
      </w:tblGrid>
      <w:tr>
        <w:trPr/>
        <w:tc>
          <w:tcPr>
            <w:tcW w:w="76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046" w:type="dxa"/>
            <w:gridSpan w:val="18"/>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510" w:type="dxa"/>
            <w:gridSpan w:val="12"/>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r>
      <w:tr>
        <w:trPr/>
        <w:tc>
          <w:tcPr>
            <w:tcW w:w="164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7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65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April 3, 2026</w:t>
            </w:r>
          </w:p>
        </w:tc>
        <w:tc>
          <w:tcPr>
            <w:tcW w:w="165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c>
          <w:tcPr>
            <w:tcW w:w="17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778"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8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8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72"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 GAAP</w:t>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(99,330)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362"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expense</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3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3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interest, net</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3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integration related costs</w:t>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0.6 </w:t>
            </w:r>
          </w:p>
        </w:tc>
        <w:tc>
          <w:tcPr>
            <w:tcW w:w="3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debt extinguishment</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27.3 </w:t>
            </w:r>
          </w:p>
        </w:tc>
        <w:tc>
          <w:tcPr>
            <w:tcW w:w="3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Gain on investment fair value, net</w:t>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Tax effect of non-GAAP adjustments</w:t>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3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net income (Non-GAAP)</w:t>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272,332 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191,986 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27.2 </w:t>
            </w:r>
          </w:p>
        </w:tc>
        <w:tc>
          <w:tcPr>
            <w:tcW w:w="362" w:type="dxa"/>
            <w:tcBorders>
              <w:top w:val="single" w:sz="8" w:space="0" w:color="000000"/>
              <w:bottom w:val="double" w:sz="8" w:space="0" w:color="000000"/>
              <w:right w:val="single" w:sz="8" w:space="0" w:color="000000"/>
            </w:tcBorders>
            <w:shd w:fill="CCEE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31"/>
        <w:gridCol w:w="303"/>
        <w:gridCol w:w="305"/>
        <w:gridCol w:w="181"/>
        <w:gridCol w:w="616"/>
        <w:gridCol w:w="109"/>
        <w:gridCol w:w="245"/>
        <w:gridCol w:w="531"/>
        <w:gridCol w:w="148"/>
        <w:gridCol w:w="181"/>
        <w:gridCol w:w="541"/>
        <w:gridCol w:w="109"/>
        <w:gridCol w:w="245"/>
        <w:gridCol w:w="531"/>
        <w:gridCol w:w="148"/>
        <w:gridCol w:w="181"/>
        <w:gridCol w:w="541"/>
        <w:gridCol w:w="109"/>
        <w:gridCol w:w="245"/>
        <w:gridCol w:w="531"/>
        <w:gridCol w:w="148"/>
        <w:gridCol w:w="181"/>
        <w:gridCol w:w="616"/>
        <w:gridCol w:w="109"/>
        <w:gridCol w:w="245"/>
        <w:gridCol w:w="531"/>
        <w:gridCol w:w="148"/>
        <w:gridCol w:w="181"/>
        <w:gridCol w:w="616"/>
        <w:gridCol w:w="109"/>
        <w:gridCol w:w="233"/>
        <w:gridCol w:w="549"/>
        <w:gridCol w:w="208"/>
      </w:tblGrid>
      <w:tr>
        <w:trPr/>
        <w:tc>
          <w:tcPr>
            <w:tcW w:w="53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340" w:type="dxa"/>
            <w:gridSpan w:val="18"/>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726" w:type="dxa"/>
            <w:gridSpan w:val="12"/>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r>
      <w:tr>
        <w:trPr/>
        <w:tc>
          <w:tcPr>
            <w:tcW w:w="113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3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755"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April 3, 2026</w:t>
            </w:r>
          </w:p>
        </w:tc>
        <w:tc>
          <w:tcPr>
            <w:tcW w:w="1755"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c>
          <w:tcPr>
            <w:tcW w:w="1830"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896"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income</w:t>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per diluted share</w:t>
            </w:r>
          </w:p>
        </w:tc>
        <w:tc>
          <w:tcPr>
            <w:tcW w:w="8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income</w:t>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per diluted share</w:t>
            </w:r>
          </w:p>
        </w:tc>
        <w:tc>
          <w:tcPr>
            <w:tcW w:w="8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income</w:t>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per diluted share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income</w:t>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per diluted share</w:t>
            </w:r>
          </w:p>
        </w:tc>
        <w:tc>
          <w:tcPr>
            <w:tcW w:w="9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income</w:t>
            </w:r>
          </w:p>
        </w:tc>
        <w:tc>
          <w:tcPr>
            <w:tcW w:w="990"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per diluted share</w:t>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 - GAAP diluted</w:t>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0.48 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(99,330)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w:t>
            </w:r>
          </w:p>
        </w:tc>
        <w:tc>
          <w:tcPr>
            <w:tcW w:w="208"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net income (Non-GAAP)</w:t>
            </w:r>
          </w:p>
        </w:tc>
        <w:tc>
          <w:tcPr>
            <w:tcW w:w="18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109,789 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1.40 </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84,316 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1.09 </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68,207 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bookmarkStart w:id="0" w:name="i4cf61557b5fd480291afb8114464139d_7-6-1-"/>
            <w:bookmarkEnd w:id="0"/>
            <w:r>
              <w:rPr>
                <w:rFonts w:ascii="Times New Roman;serif" w:hAnsi="Times New Roman;serif"/>
                <w:b w:val="false"/>
                <w:color w:val="000000"/>
                <w:sz w:val="14"/>
              </w:rPr>
              <w:t>0.90 </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272,332 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3.51 </w:t>
            </w:r>
          </w:p>
        </w:tc>
        <w:tc>
          <w:tcPr>
            <w:tcW w:w="1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191,986 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2.54 </w:t>
            </w:r>
          </w:p>
        </w:tc>
        <w:tc>
          <w:tcPr>
            <w:tcW w:w="208" w:type="dxa"/>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tbl>
      <w:tblPr>
        <w:tblW w:w="7967" w:type="dxa"/>
        <w:jc w:val="center"/>
        <w:tblInd w:w="0" w:type="dxa"/>
        <w:tblLayout w:type="fixed"/>
        <w:tblCellMar>
          <w:top w:w="28" w:type="dxa"/>
          <w:left w:w="28" w:type="dxa"/>
          <w:bottom w:w="28" w:type="dxa"/>
          <w:right w:w="28" w:type="dxa"/>
        </w:tblCellMar>
      </w:tblPr>
      <w:tblGrid>
        <w:gridCol w:w="808"/>
        <w:gridCol w:w="712"/>
        <w:gridCol w:w="715"/>
        <w:gridCol w:w="270"/>
        <w:gridCol w:w="271"/>
        <w:gridCol w:w="171"/>
        <w:gridCol w:w="140"/>
        <w:gridCol w:w="140"/>
        <w:gridCol w:w="140"/>
        <w:gridCol w:w="270"/>
        <w:gridCol w:w="271"/>
        <w:gridCol w:w="171"/>
        <w:gridCol w:w="147"/>
        <w:gridCol w:w="147"/>
        <w:gridCol w:w="147"/>
        <w:gridCol w:w="270"/>
        <w:gridCol w:w="271"/>
        <w:gridCol w:w="171"/>
        <w:gridCol w:w="140"/>
        <w:gridCol w:w="140"/>
        <w:gridCol w:w="140"/>
        <w:gridCol w:w="270"/>
        <w:gridCol w:w="271"/>
        <w:gridCol w:w="171"/>
        <w:gridCol w:w="140"/>
        <w:gridCol w:w="140"/>
        <w:gridCol w:w="140"/>
        <w:gridCol w:w="270"/>
        <w:gridCol w:w="271"/>
        <w:gridCol w:w="171"/>
        <w:gridCol w:w="138"/>
        <w:gridCol w:w="138"/>
        <w:gridCol w:w="195"/>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417" w:type="dxa"/>
            <w:gridSpan w:val="18"/>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2315" w:type="dxa"/>
            <w:gridSpan w:val="12"/>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r>
      <w:tr>
        <w:trPr/>
        <w:tc>
          <w:tcPr>
            <w:tcW w:w="2235"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13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153"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April 3, 2026</w:t>
            </w:r>
          </w:p>
        </w:tc>
        <w:tc>
          <w:tcPr>
            <w:tcW w:w="11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c>
          <w:tcPr>
            <w:tcW w:w="113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183"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471"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Diluted shares - GAAP</w:t>
            </w:r>
          </w:p>
        </w:tc>
        <w:tc>
          <w:tcPr>
            <w:tcW w:w="54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78,409 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77,555 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75,864 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77,561 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73,828 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Incremental shares</w:t>
            </w:r>
          </w:p>
        </w:tc>
        <w:tc>
          <w:tcPr>
            <w:tcW w:w="5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diluted shares (Non-GAAP)</w:t>
            </w:r>
          </w:p>
        </w:tc>
        <w:tc>
          <w:tcPr>
            <w:tcW w:w="541" w:type="dxa"/>
            <w:gridSpan w:val="2"/>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78,409 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77,555 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75,864 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77,561 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left w:val="single" w:sz="8" w:space="0" w:color="000000"/>
              <w:bottom w:val="double" w:sz="8" w:space="0" w:color="000000"/>
            </w:tcBorders>
            <w:shd w:fill="CCEEFF" w:val="clear"/>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75,730 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bottom w:val="double" w:sz="8" w:space="0" w:color="000000"/>
              <w:right w:val="single" w:sz="8" w:space="0" w:color="000000"/>
            </w:tcBorders>
            <w:shd w:fill="CCEE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80"/>
        <w:gridCol w:w="657"/>
        <w:gridCol w:w="662"/>
        <w:gridCol w:w="181"/>
        <w:gridCol w:w="466"/>
        <w:gridCol w:w="109"/>
        <w:gridCol w:w="275"/>
        <w:gridCol w:w="275"/>
        <w:gridCol w:w="276"/>
        <w:gridCol w:w="181"/>
        <w:gridCol w:w="466"/>
        <w:gridCol w:w="109"/>
        <w:gridCol w:w="275"/>
        <w:gridCol w:w="275"/>
        <w:gridCol w:w="276"/>
        <w:gridCol w:w="181"/>
        <w:gridCol w:w="466"/>
        <w:gridCol w:w="109"/>
        <w:gridCol w:w="275"/>
        <w:gridCol w:w="275"/>
        <w:gridCol w:w="276"/>
        <w:gridCol w:w="181"/>
        <w:gridCol w:w="541"/>
        <w:gridCol w:w="109"/>
        <w:gridCol w:w="275"/>
        <w:gridCol w:w="275"/>
        <w:gridCol w:w="276"/>
        <w:gridCol w:w="181"/>
        <w:gridCol w:w="541"/>
        <w:gridCol w:w="109"/>
        <w:gridCol w:w="255"/>
        <w:gridCol w:w="255"/>
        <w:gridCol w:w="362"/>
      </w:tblGrid>
      <w:tr>
        <w:trPr/>
        <w:tc>
          <w:tcPr>
            <w:tcW w:w="78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746" w:type="dxa"/>
            <w:gridSpan w:val="18"/>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360" w:type="dxa"/>
            <w:gridSpan w:val="12"/>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Nine Months Ended</w:t>
            </w:r>
          </w:p>
        </w:tc>
      </w:tr>
      <w:tr>
        <w:trPr/>
        <w:tc>
          <w:tcPr>
            <w:tcW w:w="209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8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58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April 3, 2026</w:t>
            </w:r>
          </w:p>
        </w:tc>
        <w:tc>
          <w:tcPr>
            <w:tcW w:w="1582"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c>
          <w:tcPr>
            <w:tcW w:w="165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 2026</w:t>
            </w:r>
          </w:p>
        </w:tc>
        <w:tc>
          <w:tcPr>
            <w:tcW w:w="1703" w:type="dxa"/>
            <w:gridSpan w:val="6"/>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4, 2025</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75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75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8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c>
          <w:tcPr>
            <w:tcW w:w="8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Amount</w:t>
            </w:r>
          </w:p>
        </w:tc>
        <w:tc>
          <w:tcPr>
            <w:tcW w:w="872"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Revenue</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 - GAAP</w:t>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362"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 GAAP</w:t>
            </w:r>
          </w:p>
        </w:tc>
        <w:tc>
          <w:tcPr>
            <w:tcW w:w="6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362"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interest expense</w:t>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362"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Adjusted interest income (Non-GAAP)</w:t>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362" w:type="dxa"/>
            <w:tcBorders>
              <w:top w:val="single" w:sz="8" w:space="0" w:color="000000"/>
              <w:bottom w:val="doub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4106</Words>
  <Characters>23268</Characters>
  <CharactersWithSpaces>26962</CharactersWithSpaces>
  <Paragraphs>1015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