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July 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001-35451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MACOM Technology Solutions Holdings, Inc. </w:t>
      </w:r>
    </w:p>
    <w:p>
      <w:pPr>
        <w:pStyle w:val="TextBody"/>
        <w:bidi w:val="0"/>
        <w:spacing w:lineRule="auto" w:line="288" w:before="60" w:after="283"/>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27-0306875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100 Chelmsford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Lowell, MA 01851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(978) 656-2500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684"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991"/>
        <w:gridCol w:w="991"/>
        <w:gridCol w:w="1408"/>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MTSI</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3"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495"/>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before="20" w:after="140"/>
        <w:ind w:left="0" w:right="0" w:firstLine="495"/>
        <w:jc w:val="both"/>
        <w:rPr/>
      </w:pPr>
      <w:r>
        <w:rPr/>
      </w:r>
    </w:p>
    <w:p>
      <w:pPr>
        <w:pStyle w:val="TextBody"/>
        <w:bidi w:val="0"/>
        <w:spacing w:lineRule="auto" w:line="288" w:before="120" w:after="283"/>
        <w:ind w:left="0" w:right="0" w:firstLine="495"/>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August 3, 2026, there were 76,370,931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67" w:type="dxa"/>
        <w:jc w:val="left"/>
        <w:tblInd w:w="0" w:type="dxa"/>
        <w:tblLayout w:type="fixed"/>
        <w:tblCellMar>
          <w:top w:w="28" w:type="dxa"/>
          <w:left w:w="28" w:type="dxa"/>
          <w:bottom w:w="28" w:type="dxa"/>
          <w:right w:w="28" w:type="dxa"/>
        </w:tblCellMar>
      </w:tblPr>
      <w:tblGrid>
        <w:gridCol w:w="294"/>
        <w:gridCol w:w="258"/>
        <w:gridCol w:w="258"/>
        <w:gridCol w:w="479"/>
        <w:gridCol w:w="479"/>
        <w:gridCol w:w="479"/>
        <w:gridCol w:w="1975"/>
        <w:gridCol w:w="1975"/>
        <w:gridCol w:w="1975"/>
        <w:gridCol w:w="466"/>
        <w:gridCol w:w="466"/>
        <w:gridCol w:w="6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767"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0">
              <w:r>
                <w:rPr>
                  <w:rStyle w:val="InternetLink"/>
                  <w:rFonts w:ascii="Times New Roman;serif" w:hAnsi="Times New Roman;serif"/>
                  <w:b/>
                  <w:color w:val="0000FF"/>
                  <w:sz w:val="20"/>
                  <w:u w:val="single"/>
                </w:rPr>
                <w:t>PART I—FINANCIAL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3">
              <w:r>
                <w:rPr>
                  <w:rStyle w:val="InternetLink"/>
                  <w:rFonts w:ascii="Times New Roman;serif" w:hAnsi="Times New Roman;serif"/>
                  <w:b w:val="false"/>
                  <w:color w:val="0000FF"/>
                  <w:sz w:val="20"/>
                  <w:u w:val="single"/>
                </w:rPr>
                <w:t>Financial Statements (Unaudited)</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3">
              <w:r>
                <w:rPr>
                  <w:rStyle w:val="InternetLink"/>
                  <w:rFonts w:ascii="Times New Roman;serif" w:hAnsi="Times New Roman;serif"/>
                  <w:b w:val="false"/>
                  <w:color w:val="0000FF"/>
                  <w:sz w:val="20"/>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6">
              <w:r>
                <w:rPr>
                  <w:rStyle w:val="InternetLink"/>
                  <w:rFonts w:ascii="Times New Roman;serif" w:hAnsi="Times New Roman;serif"/>
                  <w:b w:val="false"/>
                  <w:color w:val="0000FF"/>
                  <w:sz w:val="20"/>
                  <w:u w:val="single"/>
                </w:rPr>
                <w:t>Condensed Consolidated Balance Sheets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6">
              <w:r>
                <w:rPr>
                  <w:rStyle w:val="InternetLink"/>
                  <w:rFonts w:ascii="Times New Roman;serif" w:hAnsi="Times New Roman;serif"/>
                  <w:b w:val="false"/>
                  <w:color w:val="0000FF"/>
                  <w:sz w:val="20"/>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9">
              <w:r>
                <w:rPr>
                  <w:rStyle w:val="InternetLink"/>
                  <w:rFonts w:ascii="Times New Roman;serif" w:hAnsi="Times New Roman;serif"/>
                  <w:b w:val="false"/>
                  <w:color w:val="0000FF"/>
                  <w:sz w:val="20"/>
                  <w:u w:val="single"/>
                </w:rPr>
                <w:t>Condensed Consolidated Statements of Operations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22">
              <w:r>
                <w:rPr>
                  <w:rStyle w:val="InternetLink"/>
                  <w:rFonts w:ascii="Times New Roman;serif" w:hAnsi="Times New Roman;serif"/>
                  <w:b w:val="false"/>
                  <w:color w:val="0000FF"/>
                  <w:sz w:val="20"/>
                  <w:u w:val="single"/>
                </w:rPr>
                <w:t>Condensed Consolidated Statements of Comprehensive Income (Loss)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25">
              <w:r>
                <w:rPr>
                  <w:rStyle w:val="InternetLink"/>
                  <w:rFonts w:ascii="Times New Roman;serif" w:hAnsi="Times New Roman;serif"/>
                  <w:b w:val="false"/>
                  <w:color w:val="0000FF"/>
                  <w:sz w:val="20"/>
                  <w:u w:val="single"/>
                </w:rPr>
                <w:t xml:space="preserve">Condensed Consolidated Statements of Stockholders’ Equity </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28">
              <w:r>
                <w:rPr>
                  <w:rStyle w:val="InternetLink"/>
                  <w:rFonts w:ascii="Times New Roman;serif" w:hAnsi="Times New Roman;serif"/>
                  <w:b w:val="false"/>
                  <w:color w:val="0000FF"/>
                  <w:sz w:val="20"/>
                  <w:u w:val="single"/>
                </w:rPr>
                <w:t>Condensed Consolidated Statements of Cash Flows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28">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31">
              <w:r>
                <w:rPr>
                  <w:rStyle w:val="InternetLink"/>
                  <w:rFonts w:ascii="Times New Roman;serif" w:hAnsi="Times New Roman;serif"/>
                  <w:b w:val="false"/>
                  <w:color w:val="0000FF"/>
                  <w:sz w:val="20"/>
                  <w:u w:val="single"/>
                </w:rPr>
                <w:t>Notes to Condensed Consolidated Financial Statements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31">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3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36">
              <w:r>
                <w:rPr>
                  <w:rStyle w:val="InternetLink"/>
                  <w:rFonts w:ascii="Times New Roman;serif" w:hAnsi="Times New Roman;serif"/>
                  <w:b w:val="false"/>
                  <w:color w:val="0000FF"/>
                  <w:sz w:val="20"/>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66">
              <w:r>
                <w:rPr>
                  <w:rStyle w:val="InternetLink"/>
                  <w:rFonts w:ascii="Times New Roman;serif" w:hAnsi="Times New Roman;serif"/>
                  <w:b w:val="false"/>
                  <w:color w:val="0000FF"/>
                  <w:sz w:val="20"/>
                  <w:u w:val="single"/>
                </w:rPr>
                <w:t>Quantitative and Qualitative Disclosures About Market Risk</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66">
              <w:r>
                <w:rPr>
                  <w:rStyle w:val="InternetLink"/>
                  <w:rFonts w:ascii="Times New Roman;serif" w:hAnsi="Times New Roman;serif"/>
                  <w:b w:val="false"/>
                  <w:color w:val="0000FF"/>
                  <w:sz w:val="20"/>
                  <w:u w:val="single"/>
                </w:rPr>
                <w:t>29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72">
              <w:r>
                <w:rPr>
                  <w:rStyle w:val="InternetLink"/>
                  <w:rFonts w:ascii="Times New Roman;serif" w:hAnsi="Times New Roman;serif"/>
                  <w:b w:val="false"/>
                  <w:color w:val="0000FF"/>
                  <w:sz w:val="20"/>
                  <w:u w:val="single"/>
                </w:rPr>
                <w:t>Controls and Procedures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72">
              <w:r>
                <w:rPr>
                  <w:rStyle w:val="InternetLink"/>
                  <w:rFonts w:ascii="Times New Roman;serif" w:hAnsi="Times New Roman;serif"/>
                  <w:b w:val="false"/>
                  <w:color w:val="0000FF"/>
                  <w:sz w:val="20"/>
                  <w:u w:val="single"/>
                </w:rPr>
                <w:t>30</w:t>
              </w:r>
            </w:hyperlink>
          </w:p>
        </w:tc>
      </w:tr>
      <w:tr>
        <w:trPr/>
        <w:tc>
          <w:tcPr>
            <w:tcW w:w="9767"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75">
              <w:r>
                <w:rPr>
                  <w:rStyle w:val="InternetLink"/>
                  <w:rFonts w:ascii="Times New Roman;serif" w:hAnsi="Times New Roman;serif"/>
                  <w:b/>
                  <w:color w:val="0000FF"/>
                  <w:sz w:val="20"/>
                  <w:u w:val="single"/>
                </w:rPr>
                <w:t>PART II—OTHER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78">
              <w:r>
                <w:rPr>
                  <w:rStyle w:val="InternetLink"/>
                  <w:rFonts w:ascii="Times New Roman;serif" w:hAnsi="Times New Roman;serif"/>
                  <w:b w:val="false"/>
                  <w:color w:val="0000FF"/>
                  <w:sz w:val="20"/>
                  <w:u w:val="single"/>
                </w:rPr>
                <w:t>Legal Proceedings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78">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81">
              <w:r>
                <w:rPr>
                  <w:rStyle w:val="InternetLink"/>
                  <w:rFonts w:ascii="Times New Roman;serif" w:hAnsi="Times New Roman;serif"/>
                  <w:b w:val="false"/>
                  <w:color w:val="0000FF"/>
                  <w:sz w:val="20"/>
                  <w:u w:val="single"/>
                </w:rPr>
                <w:t>Risk Factors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81">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84">
              <w:r>
                <w:rPr>
                  <w:rStyle w:val="InternetLink"/>
                  <w:rFonts w:ascii="Times New Roman;serif" w:hAnsi="Times New Roman;serif"/>
                  <w:b w:val="false"/>
                  <w:color w:val="0000FF"/>
                  <w:sz w:val="20"/>
                  <w:u w:val="single"/>
                </w:rPr>
                <w:t>Unregistered Sales of Equity Securities and Use of Proceeds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84">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87">
              <w:r>
                <w:rPr>
                  <w:rStyle w:val="InternetLink"/>
                  <w:rFonts w:ascii="Times New Roman;serif" w:hAnsi="Times New Roman;serif"/>
                  <w:b w:val="false"/>
                  <w:color w:val="0000FF"/>
                  <w:sz w:val="20"/>
                  <w:u w:val="single"/>
                </w:rPr>
                <w:t>Other Information</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84">
              <w:r>
                <w:rPr>
                  <w:rStyle w:val="InternetLink"/>
                  <w:rFonts w:ascii="Times New Roman;serif" w:hAnsi="Times New Roman;serif"/>
                  <w:b w:val="false"/>
                  <w:color w:val="0000FF"/>
                  <w:sz w:val="20"/>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96">
              <w:r>
                <w:rPr>
                  <w:rStyle w:val="InternetLink"/>
                  <w:rFonts w:ascii="Times New Roman;serif" w:hAnsi="Times New Roman;serif"/>
                  <w:b w:val="false"/>
                  <w:color w:val="0000FF"/>
                  <w:sz w:val="20"/>
                  <w:u w:val="single"/>
                </w:rPr>
                <w:t>Exhibits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96">
              <w:r>
                <w:rPr>
                  <w:rStyle w:val="InternetLink"/>
                  <w:rFonts w:ascii="Times New Roman;serif" w:hAnsi="Times New Roman;serif"/>
                  <w:b w:val="false"/>
                  <w:color w:val="0000FF"/>
                  <w:sz w:val="20"/>
                  <w:u w:val="single"/>
                </w:rPr>
                <w:t>32</w:t>
              </w:r>
            </w:hyperlink>
          </w:p>
        </w:tc>
      </w:tr>
      <w:tr>
        <w:trPr/>
        <w:tc>
          <w:tcPr>
            <w:tcW w:w="817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36ab0188dc74c5281d62e5e051aeff5_199">
              <w:r>
                <w:rPr>
                  <w:rStyle w:val="InternetLink"/>
                  <w:rFonts w:ascii="Times New Roman;serif" w:hAnsi="Times New Roman;serif"/>
                  <w:b w:val="false"/>
                  <w:color w:val="0000FF"/>
                  <w:sz w:val="20"/>
                  <w:u w:val="single"/>
                </w:rPr>
                <w:t>Signatures</w:t>
              </w:r>
            </w:hyperlink>
          </w:p>
        </w:tc>
        <w:tc>
          <w:tcPr>
            <w:tcW w:w="15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36ab0188dc74c5281d62e5e051aeff5_199">
              <w:r>
                <w:rPr>
                  <w:rStyle w:val="InternetLink"/>
                  <w:rFonts w:ascii="Times New Roman;serif" w:hAnsi="Times New Roman;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0" w:type="dxa"/>
        <w:jc w:val="left"/>
        <w:tblInd w:w="0" w:type="dxa"/>
        <w:tblLayout w:type="fixed"/>
        <w:tblCellMar>
          <w:top w:w="28" w:type="dxa"/>
          <w:left w:w="28" w:type="dxa"/>
          <w:bottom w:w="28" w:type="dxa"/>
          <w:right w:w="28" w:type="dxa"/>
        </w:tblCellMar>
      </w:tblPr>
      <w:tblGrid>
        <w:gridCol w:w="304"/>
        <w:gridCol w:w="267"/>
        <w:gridCol w:w="269"/>
        <w:gridCol w:w="764"/>
        <w:gridCol w:w="764"/>
        <w:gridCol w:w="108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6548" w:type="dxa"/>
        <w:jc w:val="center"/>
        <w:tblInd w:w="0" w:type="dxa"/>
        <w:tblLayout w:type="fixed"/>
        <w:tblCellMar>
          <w:top w:w="28" w:type="dxa"/>
          <w:left w:w="28" w:type="dxa"/>
          <w:bottom w:w="28" w:type="dxa"/>
          <w:right w:w="28" w:type="dxa"/>
        </w:tblCellMar>
      </w:tblPr>
      <w:tblGrid>
        <w:gridCol w:w="1388"/>
        <w:gridCol w:w="1213"/>
        <w:gridCol w:w="1223"/>
        <w:gridCol w:w="196"/>
        <w:gridCol w:w="871"/>
        <w:gridCol w:w="109"/>
        <w:gridCol w:w="109"/>
        <w:gridCol w:w="109"/>
        <w:gridCol w:w="109"/>
        <w:gridCol w:w="196"/>
        <w:gridCol w:w="87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1,205,088 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13)</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1,327,095 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8039" w:type="dxa"/>
        <w:jc w:val="center"/>
        <w:tblInd w:w="0" w:type="dxa"/>
        <w:tblLayout w:type="fixed"/>
        <w:tblCellMar>
          <w:top w:w="28" w:type="dxa"/>
          <w:left w:w="28" w:type="dxa"/>
          <w:bottom w:w="28" w:type="dxa"/>
          <w:right w:w="28" w:type="dxa"/>
        </w:tblCellMar>
      </w:tblPr>
      <w:tblGrid>
        <w:gridCol w:w="1031"/>
        <w:gridCol w:w="905"/>
        <w:gridCol w:w="91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lineRule="auto" w:line="288" w:before="0" w:after="0"/>
        <w:jc w:val="center"/>
        <w:rPr>
          <w:color w:val="000000"/>
        </w:rPr>
      </w:pPr>
      <w:r>
        <w:rPr>
          <w:color w:val="000000"/>
        </w:rPr>
        <w:t> </w:t>
      </w:r>
    </w:p>
    <w:tbl>
      <w:tblPr>
        <w:tblW w:w="8939" w:type="dxa"/>
        <w:jc w:val="center"/>
        <w:tblInd w:w="0" w:type="dxa"/>
        <w:tblLayout w:type="fixed"/>
        <w:tblCellMar>
          <w:top w:w="28" w:type="dxa"/>
          <w:left w:w="28" w:type="dxa"/>
          <w:bottom w:w="28" w:type="dxa"/>
          <w:right w:w="28" w:type="dxa"/>
        </w:tblCellMar>
      </w:tblPr>
      <w:tblGrid>
        <w:gridCol w:w="1392"/>
        <w:gridCol w:w="1227"/>
        <w:gridCol w:w="1235"/>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21"/>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short-term investments,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 gain,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gain, net of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1020" w:type="dxa"/>
        <w:jc w:val="center"/>
        <w:tblInd w:w="0" w:type="dxa"/>
        <w:tblLayout w:type="fixed"/>
        <w:tblCellMar>
          <w:top w:w="28" w:type="dxa"/>
          <w:left w:w="28" w:type="dxa"/>
          <w:bottom w:w="28" w:type="dxa"/>
          <w:right w:w="28" w:type="dxa"/>
        </w:tblCellMar>
      </w:tblPr>
      <w:tblGrid>
        <w:gridCol w:w="755"/>
        <w:gridCol w:w="215"/>
        <w:gridCol w:w="216"/>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3,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1,417,757 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 2026</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76,389 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1,540,775 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20" w:type="dxa"/>
        <w:jc w:val="left"/>
        <w:tblInd w:w="0" w:type="dxa"/>
        <w:tblLayout w:type="fixed"/>
        <w:tblCellMar>
          <w:top w:w="28" w:type="dxa"/>
          <w:left w:w="28" w:type="dxa"/>
          <w:bottom w:w="28" w:type="dxa"/>
          <w:right w:w="28" w:type="dxa"/>
        </w:tblCellMar>
      </w:tblPr>
      <w:tblGrid>
        <w:gridCol w:w="745"/>
        <w:gridCol w:w="220"/>
        <w:gridCol w:w="221"/>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July 3,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October 3,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1,327,095 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settlement of convertible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1020" w:type="dxa"/>
        <w:jc w:val="center"/>
        <w:tblInd w:w="0" w:type="dxa"/>
        <w:tblLayout w:type="fixed"/>
        <w:tblCellMar>
          <w:top w:w="28" w:type="dxa"/>
          <w:left w:w="28" w:type="dxa"/>
          <w:bottom w:w="28" w:type="dxa"/>
          <w:right w:w="28" w:type="dxa"/>
        </w:tblCellMar>
      </w:tblPr>
      <w:tblGrid>
        <w:gridCol w:w="755"/>
        <w:gridCol w:w="215"/>
        <w:gridCol w:w="216"/>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4,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4,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1,202,332 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4, 2025</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74,488 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1,544,979 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1,263,351 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20" w:type="dxa"/>
        <w:jc w:val="center"/>
        <w:tblInd w:w="0" w:type="dxa"/>
        <w:tblLayout w:type="fixed"/>
        <w:tblCellMar>
          <w:top w:w="28" w:type="dxa"/>
          <w:left w:w="28" w:type="dxa"/>
          <w:bottom w:w="28" w:type="dxa"/>
          <w:right w:w="28" w:type="dxa"/>
        </w:tblCellMar>
      </w:tblPr>
      <w:tblGrid>
        <w:gridCol w:w="630"/>
        <w:gridCol w:w="277"/>
        <w:gridCol w:w="279"/>
        <w:gridCol w:w="323"/>
        <w:gridCol w:w="323"/>
        <w:gridCol w:w="196"/>
        <w:gridCol w:w="109"/>
        <w:gridCol w:w="109"/>
        <w:gridCol w:w="109"/>
        <w:gridCol w:w="212"/>
        <w:gridCol w:w="359"/>
        <w:gridCol w:w="120"/>
        <w:gridCol w:w="109"/>
        <w:gridCol w:w="109"/>
        <w:gridCol w:w="109"/>
        <w:gridCol w:w="203"/>
        <w:gridCol w:w="203"/>
        <w:gridCol w:w="196"/>
        <w:gridCol w:w="109"/>
        <w:gridCol w:w="109"/>
        <w:gridCol w:w="109"/>
        <w:gridCol w:w="196"/>
        <w:gridCol w:w="436"/>
        <w:gridCol w:w="109"/>
        <w:gridCol w:w="109"/>
        <w:gridCol w:w="109"/>
        <w:gridCol w:w="109"/>
        <w:gridCol w:w="276"/>
        <w:gridCol w:w="785"/>
        <w:gridCol w:w="155"/>
        <w:gridCol w:w="109"/>
        <w:gridCol w:w="109"/>
        <w:gridCol w:w="109"/>
        <w:gridCol w:w="196"/>
        <w:gridCol w:w="871"/>
        <w:gridCol w:w="109"/>
        <w:gridCol w:w="109"/>
        <w:gridCol w:w="109"/>
        <w:gridCol w:w="109"/>
        <w:gridCol w:w="196"/>
        <w:gridCol w:w="751"/>
        <w:gridCol w:w="109"/>
        <w:gridCol w:w="109"/>
        <w:gridCol w:w="109"/>
        <w:gridCol w:w="109"/>
        <w:gridCol w:w="196"/>
        <w:gridCol w:w="87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July 4,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27, 2024</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72,219 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1,126,343 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and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convertible note exchange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4,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1,544,979 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693" w:type="dxa"/>
        <w:jc w:val="center"/>
        <w:tblInd w:w="0" w:type="dxa"/>
        <w:tblLayout w:type="fixed"/>
        <w:tblCellMar>
          <w:top w:w="28" w:type="dxa"/>
          <w:left w:w="28" w:type="dxa"/>
          <w:bottom w:w="28" w:type="dxa"/>
          <w:right w:w="28" w:type="dxa"/>
        </w:tblCellMar>
      </w:tblPr>
      <w:tblGrid>
        <w:gridCol w:w="2262"/>
        <w:gridCol w:w="1986"/>
        <w:gridCol w:w="1991"/>
        <w:gridCol w:w="196"/>
        <w:gridCol w:w="736"/>
        <w:gridCol w:w="109"/>
        <w:gridCol w:w="109"/>
        <w:gridCol w:w="109"/>
        <w:gridCol w:w="109"/>
        <w:gridCol w:w="196"/>
        <w:gridCol w:w="736"/>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intangibles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on marketable securities,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licenses and licensed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under financing arrangement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leases and 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financing arrangement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fee on convertible note exchange and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 on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pPr>
      <w:r>
        <w:rPr>
          <w:rFonts w:ascii="Times New Roman;serif" w:hAnsi="Times New Roman;serif"/>
          <w:b w:val="false"/>
          <w:color w:val="000000"/>
          <w:sz w:val="20"/>
        </w:rPr>
        <w:t xml:space="preserve">See notes to condensed consolidated financial statements. For supplemental disclosure of cash flow information, see </w:t>
      </w:r>
      <w:r>
        <w:rPr>
          <w:rFonts w:ascii="Times New Roman;serif" w:hAnsi="Times New Roman;serif"/>
          <w:b w:val="false"/>
          <w:i/>
          <w:color w:val="000000"/>
          <w:sz w:val="20"/>
        </w:rPr>
        <w:t>Note 16.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MACOM TECHNOLOGY SOLUTIONS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1.BASIS OF PRESENTATION AND SUMMARY OF SIGNIFICANT ACCOUNTING POLICIES</w:t>
      </w:r>
    </w:p>
    <w:p>
      <w:pPr>
        <w:pStyle w:val="TextBody"/>
        <w:bidi w:val="0"/>
        <w:spacing w:lineRule="auto" w:line="288" w:before="120" w:after="283"/>
        <w:ind w:left="0" w:right="0" w:firstLine="360"/>
        <w:jc w:val="both"/>
        <w:rPr/>
      </w:pPr>
      <w:r>
        <w:rPr>
          <w:rFonts w:ascii="Times New Roman;serif" w:hAnsi="Times New Roman;serif"/>
          <w:b/>
          <w:color w:val="000000"/>
          <w:sz w:val="20"/>
        </w:rPr>
        <w:t>Unaudited Interim Financial Information</w:t>
      </w:r>
      <w:r>
        <w:rPr>
          <w:color w:val="000000"/>
        </w:rPr>
        <w:t>—</w:t>
      </w:r>
      <w:r>
        <w:rPr>
          <w:rFonts w:ascii="Times New Roman;serif" w:hAnsi="Times New Roman;serif"/>
          <w:b w:val="false"/>
          <w:color w:val="000000"/>
          <w:sz w:val="20"/>
        </w:rPr>
        <w:t>The accompanying unaudited, condensed consolidated financial statements have been prepared according to the rules and regulations of the United States (the “U.S.”) Securities and Exchange Commission (the “SEC”) and, in the opinion of management, reflect all adjustments, which include normal recurring adjustments, necessary for a fair statement of the condensed consolidated balance sheets, condensed consolidated statements of operations, comprehensive income (loss), stockholders’ equity and cash flows of MACOM Technology Solutions Holdings, Inc. (“MACOM,” the “Company,” “us,” “we” or “our”) for the periods presented. We prepare our interim financial information using the same accounting principles we use for our annual audited consolidated financial statements. Certain information and note disclosures normally included in the annual audited consolidated financial statements have been condensed or omitted in accordance with prescribed SEC rules. We believe that the disclosures made in our condensed consolidated financial statements and the accompanying notes are adequate to make the information presented not misleading.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October 3, 2025 is as reported in our audited consolidated financial statements as of that date. Our accounting policies are described in the notes to our October 3, 2025 consolidated financial statements, which were included in our Annual Report on Form 10-K for our fiscal year ended October 3, 2025 filed with the SEC on November 14, 2025 (the “2025 Annual Report on Form 10-K”). We recommend that the financial statements included in this Quarterly Report on Form 10-Q be read in conjunction with the consolidated financial statements and notes included in our 2025 Annual Report on Form 10-K. </w:t>
      </w:r>
    </w:p>
    <w:p>
      <w:pPr>
        <w:pStyle w:val="TextBody"/>
        <w:bidi w:val="0"/>
        <w:spacing w:lineRule="auto" w:line="288" w:before="120" w:after="283"/>
        <w:ind w:left="0" w:right="0" w:firstLine="360"/>
        <w:jc w:val="both"/>
        <w:rPr/>
      </w:pPr>
      <w:r>
        <w:rPr>
          <w:rFonts w:ascii="Times New Roman;serif" w:hAnsi="Times New Roman;serif"/>
          <w:b/>
          <w:color w:val="000000"/>
          <w:sz w:val="20"/>
        </w:rPr>
        <w:t>Principles of Consolidation and Basis of Presentation</w:t>
      </w:r>
      <w:r>
        <w:rPr>
          <w:color w:val="000000"/>
        </w:rPr>
        <w:t>—</w:t>
      </w:r>
      <w:r>
        <w:rPr>
          <w:rFonts w:ascii="Times New Roman;serif" w:hAnsi="Times New Roman;serif"/>
          <w:b w:val="false"/>
          <w:color w:val="000000"/>
          <w:sz w:val="20"/>
        </w:rPr>
        <w:t>The accompanying condensed consolidated financial statements include our accounts and the accounts of our majority-owned subsidiaries. All intercompany balances and transactions have been eliminated in consolidation. In the condensed consolidated financial statements, certain prior year amounts within the condensed consolidated statement of cash flows have been reclassified to conform to the current year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52- or 53-week fiscal year ending on the Friday closest to the last day of September. Fiscal year 2026 includes 52 weeks and fiscal year 2025 included 53 weeks. To offset the effect of holidays, for fiscal years in which there are 53 weeks, we include the extra week arising in such fiscal years in the first fiscal quarter. Our first fiscal quarter ended January 2, 2026 included 13 weeks and the first fiscal quarter ended January 3, 2025 included 14 weeks. </w:t>
      </w:r>
    </w:p>
    <w:p>
      <w:pPr>
        <w:pStyle w:val="TextBody"/>
        <w:bidi w:val="0"/>
        <w:spacing w:lineRule="auto" w:line="288" w:before="120" w:after="283"/>
        <w:ind w:left="0" w:right="0" w:firstLine="360"/>
        <w:jc w:val="both"/>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condensed consolidated financial statements in conformity with U.S.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we base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w:t>
      </w:r>
    </w:p>
    <w:p>
      <w:pPr>
        <w:pStyle w:val="TextBody"/>
        <w:bidi w:val="0"/>
        <w:spacing w:lineRule="auto" w:line="288" w:before="120" w:after="283"/>
        <w:ind w:left="0" w:right="0" w:firstLine="360"/>
        <w:jc w:val="both"/>
        <w:rPr/>
      </w:pPr>
      <w:r>
        <w:rPr>
          <w:rFonts w:ascii="Times New Roman;serif" w:hAnsi="Times New Roman;serif"/>
          <w:b/>
          <w:color w:val="000000"/>
          <w:sz w:val="20"/>
          <w:shd w:fill="FFFFFF" w:val="clear"/>
        </w:rPr>
        <w:t>Recent Accounting Pronouncements</w:t>
      </w:r>
      <w:r>
        <w:rPr>
          <w:color w:val="000000"/>
        </w:rPr>
        <w:t>—</w:t>
      </w:r>
      <w:r>
        <w:rPr>
          <w:rFonts w:ascii="Times New Roman;serif" w:hAnsi="Times New Roman;serif"/>
          <w:b w:val="false"/>
          <w:color w:val="000000"/>
          <w:sz w:val="20"/>
        </w:rPr>
        <w:t>Our Recent Accounting Pronouncements are described in our 2025 Annual Report on Form 10-K.</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2023, the Financial Accounting Standards Board (“FASB”) issued Accounting Standards Update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xml:space="preserve">, which improves disclosures about a public entity’s reportable segments and addresses requests from investors and other allocators of capital for additional, more detailed information about a reportable segment’s expenses. The amendments in this update improve financial reporting by requiring disclosure of incremental segment information on an annual and interim basis for all public entities to enable investors to develop more decision-useful financial analyses. We adopted this ASU for the fiscal year ended October 3, 2025. This ASU was applied on a retrospective basis to all periods presented. See </w:t>
      </w:r>
      <w:r>
        <w:rPr>
          <w:rFonts w:ascii="Times New Roman;serif" w:hAnsi="Times New Roman;serif"/>
          <w:b w:val="false"/>
          <w:i/>
          <w:color w:val="000000"/>
          <w:sz w:val="20"/>
        </w:rPr>
        <w:t>Note 17 - Segment Reporting, Geographic and Significant Customer Information</w:t>
      </w:r>
      <w:r>
        <w:rPr>
          <w:color w:val="000000"/>
        </w:rPr>
        <w:t xml:space="preserve"> </w:t>
      </w:r>
      <w:r>
        <w:rPr>
          <w:rFonts w:ascii="Times New Roman;serif" w:hAnsi="Times New Roman;serif"/>
          <w:b w:val="false"/>
          <w:color w:val="000000"/>
          <w:sz w:val="20"/>
        </w:rPr>
        <w:t>for additional information on our interim disclosures.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w:t>
      </w:r>
      <w:r>
        <w:rPr>
          <w:color w:val="000000"/>
        </w:rPr>
        <w:t xml:space="preserve"> </w:t>
      </w:r>
      <w:r>
        <w:rPr>
          <w:rFonts w:ascii="Times New Roman;serif" w:hAnsi="Times New Roman;serif"/>
          <w:b w:val="false"/>
          <w:i/>
          <w:color w:val="000000"/>
          <w:sz w:val="20"/>
        </w:rPr>
        <w:t>Debt with Conversion and Other Options (Subtopic 470-20) Induced Conversions of Convertible Debt Instruments</w:t>
      </w:r>
      <w:r>
        <w:rPr>
          <w:rFonts w:ascii="Times New Roman;serif" w:hAnsi="Times New Roman;serif"/>
          <w:b w:val="false"/>
          <w:color w:val="000000"/>
          <w:sz w:val="20"/>
        </w:rPr>
        <w:t xml:space="preserve">, which clarifies the requirements for determining whether certain settlements of convertible debt instruments should be accounted for as an induced conversion. We elected to early adopt ASU 2024-04 in the first fiscal quarter of 2025 and applied the amendment when assessing the accounting treatment for our debt extinguishment (discussed in </w:t>
      </w:r>
      <w:r>
        <w:rPr>
          <w:rFonts w:ascii="Times New Roman;serif" w:hAnsi="Times New Roman;serif"/>
          <w:b w:val="false"/>
          <w:i/>
          <w:color w:val="000000"/>
          <w:sz w:val="20"/>
        </w:rPr>
        <w:t>Note 10 - Debt</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 - Goodwill and Other - Internal-Use Software (Subtopic 350-40): Targeted Improvements to the Accounting for Internal-Use Software. </w:t>
      </w:r>
      <w:r>
        <w:rPr>
          <w:rFonts w:ascii="Times New Roman;serif" w:hAnsi="Times New Roman;serif"/>
          <w:b w:val="false"/>
          <w:color w:val="000000"/>
          <w:sz w:val="20"/>
        </w:rPr>
        <w:t>The ASU requires entities to begin capitalizing software costs when management authorizes and commits to funding the software project, and it is probable that the project will be completed and the software will be used for its intended purpose. We elected to early adopt ASU 2025-06 in the second fiscal quarter of 2026 and the adoption of this update did not have a material impact on our condensed consolidated financial statements and related disclosures.</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Pronouncements for Adoption in Subsequent Periods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greater disaggregation of income tax disclosures. The amendments in this update improve the transparency of income tax disclosures by requiring (1) consistent categories and greater disaggregation of information in the rate reconciliation and (2) income taxes paid disaggregated by jurisdiction. Other amendments in this update improve the effectiveness and comparability of disclosures by (1) adding disclosures of pretax income (or loss) and income tax expense (or benefit) and (2) removing disclosures that no longer are considered cost beneficial or relevant. This ASU should be applied on a prospective basis, with retrospective application permitted. The guidance in this update is effective for annual reporting periods beginning after December 15, 2024. We will adopt this ASU in our Annual Report on Form 10-K for fiscal year 2026 and are finalizing the impact on our consolidated financial statements and related disclosures.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Reporting Comprehensive Income - Expense Disaggregation Disclosures</w:t>
      </w:r>
      <w:r>
        <w:rPr>
          <w:rFonts w:ascii="Times New Roman;serif" w:hAnsi="Times New Roman;serif"/>
          <w:b w:val="false"/>
          <w:color w:val="000000"/>
          <w:sz w:val="20"/>
        </w:rPr>
        <w:t xml:space="preserve">, as amended by ASU 2025-01, </w:t>
      </w:r>
      <w:r>
        <w:rPr>
          <w:rFonts w:ascii="Times New Roman;serif" w:hAnsi="Times New Roman;serif"/>
          <w:b w:val="false"/>
          <w:i/>
          <w:color w:val="000000"/>
          <w:sz w:val="20"/>
        </w:rPr>
        <w:t>Income Statement Reporting Comprehensive Income - Expense Disaggregation Disclosures: Clarifying the Effective Date,</w:t>
      </w:r>
      <w:r>
        <w:rPr>
          <w:color w:val="000000"/>
        </w:rPr>
        <w:t xml:space="preserve"> </w:t>
      </w:r>
      <w:r>
        <w:rPr>
          <w:rFonts w:ascii="Times New Roman;serif" w:hAnsi="Times New Roman;serif"/>
          <w:b w:val="false"/>
          <w:color w:val="000000"/>
          <w:sz w:val="20"/>
        </w:rPr>
        <w:t>which requires disclosure, in the notes to financial statements, of specified information about certain costs and expenses. The amendments in this update improve financial reporting by requiring that public business entities disclose additional information about specific expense categories in the notes to financial statements at interim and annual reporting periods. This ASU should be applied on a prospective basis, with retrospective application permitted. The amendments in this update are effective for annual reporting periods beginning after December 15, 2026 and interim periods within annual reporting periods beginning after December 15, 2027, with early adoption permitted. We are currently evaluating the future effect the adoption of this ASU will have on our consolidated financial statements and related disclosures.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The ASU amends guidance for measuring credit losses on current accounts receivable and contract assets that arise from transactions accounted for under Accounting Standards Codification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by providing all entities with the ability to elect a practical expedient that assumes that current conditions as of the balance sheet date do not change for the remaining life of the asset. This ASU should be applied on a prospective basis. The guidance in this update is effective for annual reporting periods beginning after December 15, 2025 and interim reporting periods within those annual reporting periods, with early adoption permitted. We are currently evaluating the future effect the adoption of this ASU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Disaggregation of Revenue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disaggregate revenue from contracts with customers by markets and geography, as we believe it best depicts how the nature, amount, timing and uncertainty of revenue and cash flows are affected by 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revenue disaggregated by markets and geography (in thousands):</w:t>
      </w:r>
    </w:p>
    <w:tbl>
      <w:tblPr>
        <w:tblW w:w="7132" w:type="dxa"/>
        <w:jc w:val="center"/>
        <w:tblInd w:w="0" w:type="dxa"/>
        <w:tblLayout w:type="fixed"/>
        <w:tblCellMar>
          <w:top w:w="28" w:type="dxa"/>
          <w:left w:w="28" w:type="dxa"/>
          <w:bottom w:w="28" w:type="dxa"/>
          <w:right w:w="28" w:type="dxa"/>
        </w:tblCellMar>
      </w:tblPr>
      <w:tblGrid>
        <w:gridCol w:w="647"/>
        <w:gridCol w:w="567"/>
        <w:gridCol w:w="57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311"/>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Revenue by Market: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Industrial &amp; Defense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304,148 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Data Center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213,286 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188,654 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91" w:type="dxa"/>
        <w:jc w:val="center"/>
        <w:tblInd w:w="0" w:type="dxa"/>
        <w:tblLayout w:type="fixed"/>
        <w:tblCellMar>
          <w:top w:w="28" w:type="dxa"/>
          <w:left w:w="28" w:type="dxa"/>
          <w:bottom w:w="28" w:type="dxa"/>
          <w:right w:w="28" w:type="dxa"/>
        </w:tblCellMar>
      </w:tblPr>
      <w:tblGrid>
        <w:gridCol w:w="993"/>
        <w:gridCol w:w="873"/>
        <w:gridCol w:w="87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311"/>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18"/>
              </w:rPr>
              <w:t>Revenue by Geographic Region</w:t>
            </w:r>
            <w:r>
              <w:rPr>
                <w:rFonts w:ascii="Times New Roman;serif" w:hAnsi="Times New Roman;serif"/>
                <w:b/>
                <w:color w:val="000000"/>
                <w:sz w:val="12"/>
              </w:rPr>
              <w:t>(1)</w:t>
            </w:r>
            <w:r>
              <w:rPr>
                <w:rFonts w:ascii="Times New Roman;serif" w:hAnsi="Times New Roman;serif"/>
                <w:b/>
                <w:color w:val="000000"/>
                <w:sz w:val="18"/>
              </w:rPr>
              <w: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erif" w:hAnsi="Times New Roman;serif"/>
                <w:b w:val="false"/>
                <w:color w:val="000000"/>
                <w:sz w:val="18"/>
              </w:rPr>
            </w:pPr>
            <w:r>
              <w:rPr>
                <w:rFonts w:ascii="Times New Roman;serif" w:hAnsi="Times New Roman;serif"/>
                <w:b w:val="false"/>
                <w:color w:val="000000"/>
                <w:sz w:val="18"/>
              </w:rPr>
              <w:t>China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197,545 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Asia Pacific, excluding 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pPr>
            <w:r>
              <w:rPr>
                <w:rFonts w:ascii="Times New Roman;serif" w:hAnsi="Times New Roman;serif"/>
                <w:b w:val="false"/>
                <w:color w:val="000000"/>
                <w:sz w:val="18"/>
              </w:rPr>
              <w:t xml:space="preserve">Other Countries </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(1)Revenue by geographic region is aggregated by customer billing address.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(2)No country or region represented greater than 10% of our total revenue as of the dates presented, other than the United States, China and Asia Pacific region as presented above.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Contract Balances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contract assets or contract liabilities depending on the timing of revenue recognition, billings and cash collections on a contract-by-contract basis. Our contract liabilities primarily relate to deferred revenue, including advanced consideration received from customers for contracts prior to the transfer of control to the customer, and, therefore, revenue is subsequently recognized upon delivery of products and services.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contract liabilities during the nine months ended July 3, 2026 (in thousands, except percentage):</w:t>
      </w:r>
    </w:p>
    <w:tbl>
      <w:tblPr>
        <w:tblW w:w="6805" w:type="dxa"/>
        <w:jc w:val="center"/>
        <w:tblInd w:w="0" w:type="dxa"/>
        <w:tblLayout w:type="fixed"/>
        <w:tblCellMar>
          <w:top w:w="28" w:type="dxa"/>
          <w:left w:w="28" w:type="dxa"/>
          <w:bottom w:w="28" w:type="dxa"/>
          <w:right w:w="28" w:type="dxa"/>
        </w:tblCellMar>
      </w:tblPr>
      <w:tblGrid>
        <w:gridCol w:w="527"/>
        <w:gridCol w:w="462"/>
        <w:gridCol w:w="466"/>
        <w:gridCol w:w="232"/>
        <w:gridCol w:w="659"/>
        <w:gridCol w:w="129"/>
        <w:gridCol w:w="109"/>
        <w:gridCol w:w="109"/>
        <w:gridCol w:w="109"/>
        <w:gridCol w:w="297"/>
        <w:gridCol w:w="843"/>
        <w:gridCol w:w="165"/>
        <w:gridCol w:w="109"/>
        <w:gridCol w:w="109"/>
        <w:gridCol w:w="109"/>
        <w:gridCol w:w="196"/>
        <w:gridCol w:w="631"/>
        <w:gridCol w:w="109"/>
        <w:gridCol w:w="109"/>
        <w:gridCol w:w="109"/>
        <w:gridCol w:w="109"/>
        <w:gridCol w:w="269"/>
        <w:gridCol w:w="271"/>
        <w:gridCol w:w="56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5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18"/>
              </w:rPr>
              <w:t>Contract liabilities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165" w:type="dxa"/>
            <w:tcBorders>
              <w:top w:val="single" w:sz="8" w:space="0" w:color="000000"/>
            </w:tcBorders>
            <w:shd w:fill="CCED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w:t>
            </w:r>
          </w:p>
        </w:tc>
        <w:tc>
          <w:tcPr>
            <w:tcW w:w="109" w:type="dxa"/>
            <w:tcBorders>
              <w:top w:val="single" w:sz="8" w:space="0" w:color="000000"/>
            </w:tcBorders>
            <w:shd w:fill="CCED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568"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July 3, 2026, we recognized revenue of $0.7 million and $5.8 million, respectively, that were included in the contract liabilities balance as of October 3, 2025. During the three and nine months ended July 4, 2025, we recognized revenue of $0.3 million and $1.7 million, respectively, that were included in the contract liabilities balance as of September 27, 2024. The decrease in contract liabilities during the nine months ended July 3, 2026 was primarily related to recognition of revenue that was previously deferred for products and services invoiced prior to when certain of our customers obtained control of such products and/or services, partially offset by deferral of revenue for additional invoicing prior to when our customers obtain control of such products and/or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120" w:after="283"/>
        <w:ind w:left="0" w:right="0" w:firstLine="360"/>
        <w:jc w:val="both"/>
        <w:rPr/>
      </w:pPr>
      <w:r>
        <w:rPr>
          <w:rFonts w:ascii="Times New Roman;serif" w:hAnsi="Times New Roman;serif"/>
          <w:b/>
          <w:color w:val="000000"/>
          <w:sz w:val="20"/>
          <w:shd w:fill="FFFFFF" w:val="clear"/>
        </w:rPr>
        <w:t>ENGIN-IC, Inc.—</w:t>
      </w:r>
      <w:r>
        <w:rPr>
          <w:rFonts w:ascii="Times New Roman;serif" w:hAnsi="Times New Roman;serif"/>
          <w:b w:val="false"/>
          <w:color w:val="000000"/>
          <w:sz w:val="20"/>
        </w:rPr>
        <w:t>On November 5, 2024, we completed the acquisition of ENGIN-IC, Inc. (“ENGIN-IC”), a fabless semiconductor company that designs advanced gallium arsenide (“GaAs”) and gallium nitride (“GaN”) monolithic microwave integrated circuits (“MMICs”) and integrated microwave assemblies located in Plano, Texas and San Diego, California (the “ENGIN-IC Acquisition”). We acquired ENGIN-IC to further expand and strengthen our MMIC and module design capabilities. In connection with the ENGIN-IC Acquisition, we acquired all of the outstanding shares of ENGIN-IC for a total purchase price of approximately $14.4 million with cash consideration of $12.7 million, net of cash acquired of $0.2 million, and deferred consideration payable of $1.5 million related to customary agreement provisions not associated with future performance of the acquired business, which was paid during the nine months ended July 3, 2026. The ENGIN-IC Acquisition was accounted for as a business combination and the operations of ENGIN-IC have been included in our consolidated financial statements since the date of acquisition. We finalized the ENGIN-IC Acquisition purchase accounting during the fiscal quarter ended January 2, 2026 and adjustments were immaterial. We recorded the final allocation of the purchase price for ENGIN-IC, which primarily resulted in intangible assets, including acquired technology and customer relationships, of $9.7 million and goodwill of $5.1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estimated pro forma unaudited revenue and consolidated estimated pro forma unaudited net loss during the three and nine months ended July 4, 2025 and the actual results of operations for ENGIN-IC since the acquisition date are not material to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Short-Term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investments that are classified as available-for-sale are short-term in nature and are invested in corporate bonds, commercial paper, U.S. Treasuries and agency bonds. The Company classifies available-for-sale investments with maturity dates greater than twelve months as short-term investments rather than long-term investments based on the nature of the securities and the availability for use in current operations. The Company believes this method is preferable because it is more reflective of the Company’s assessment of its overall liquidity position. These investments are owned directly by the Company and are segregated in brokerage custody accounts. The amortized cost, gross unrealized holding gains or losses and fair value of our available-for-sale investments by major investment type are summarized in the tables below (in thousands):</w:t>
      </w:r>
    </w:p>
    <w:p>
      <w:pPr>
        <w:pStyle w:val="TextBody"/>
        <w:bidi w:val="0"/>
        <w:spacing w:before="120" w:after="283"/>
        <w:ind w:left="0" w:right="0" w:firstLine="360"/>
        <w:jc w:val="both"/>
        <w:rPr/>
      </w:pPr>
      <w:r>
        <w:rPr/>
      </w:r>
    </w:p>
    <w:tbl>
      <w:tblPr>
        <w:tblW w:w="8233" w:type="dxa"/>
        <w:jc w:val="center"/>
        <w:tblInd w:w="0" w:type="dxa"/>
        <w:tblLayout w:type="fixed"/>
        <w:tblCellMar>
          <w:top w:w="28" w:type="dxa"/>
          <w:left w:w="28" w:type="dxa"/>
          <w:bottom w:w="28" w:type="dxa"/>
          <w:right w:w="28" w:type="dxa"/>
        </w:tblCellMar>
      </w:tblPr>
      <w:tblGrid>
        <w:gridCol w:w="923"/>
        <w:gridCol w:w="811"/>
        <w:gridCol w:w="815"/>
        <w:gridCol w:w="196"/>
        <w:gridCol w:w="736"/>
        <w:gridCol w:w="109"/>
        <w:gridCol w:w="109"/>
        <w:gridCol w:w="109"/>
        <w:gridCol w:w="109"/>
        <w:gridCol w:w="324"/>
        <w:gridCol w:w="696"/>
        <w:gridCol w:w="180"/>
        <w:gridCol w:w="109"/>
        <w:gridCol w:w="109"/>
        <w:gridCol w:w="109"/>
        <w:gridCol w:w="265"/>
        <w:gridCol w:w="773"/>
        <w:gridCol w:w="148"/>
        <w:gridCol w:w="109"/>
        <w:gridCol w:w="109"/>
        <w:gridCol w:w="109"/>
        <w:gridCol w:w="230"/>
        <w:gridCol w:w="864"/>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Holding 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w:t>
              <w:br/>
              <w:t>Value</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531,087 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investments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573,426 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33" w:type="dxa"/>
        <w:jc w:val="center"/>
        <w:tblInd w:w="0" w:type="dxa"/>
        <w:tblLayout w:type="fixed"/>
        <w:tblCellMar>
          <w:top w:w="28" w:type="dxa"/>
          <w:left w:w="28" w:type="dxa"/>
          <w:bottom w:w="28" w:type="dxa"/>
          <w:right w:w="28" w:type="dxa"/>
        </w:tblCellMar>
      </w:tblPr>
      <w:tblGrid>
        <w:gridCol w:w="922"/>
        <w:gridCol w:w="812"/>
        <w:gridCol w:w="815"/>
        <w:gridCol w:w="196"/>
        <w:gridCol w:w="736"/>
        <w:gridCol w:w="109"/>
        <w:gridCol w:w="109"/>
        <w:gridCol w:w="109"/>
        <w:gridCol w:w="109"/>
        <w:gridCol w:w="273"/>
        <w:gridCol w:w="775"/>
        <w:gridCol w:w="152"/>
        <w:gridCol w:w="109"/>
        <w:gridCol w:w="109"/>
        <w:gridCol w:w="109"/>
        <w:gridCol w:w="357"/>
        <w:gridCol w:w="630"/>
        <w:gridCol w:w="199"/>
        <w:gridCol w:w="109"/>
        <w:gridCol w:w="109"/>
        <w:gridCol w:w="109"/>
        <w:gridCol w:w="230"/>
        <w:gridCol w:w="864"/>
        <w:gridCol w:w="182"/>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Holding 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Holding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w:t>
              <w:br/>
              <w:t>Value</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investments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670,537 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available-for-sale investments were as follows (in thousands):</w:t>
      </w:r>
    </w:p>
    <w:tbl>
      <w:tblPr>
        <w:tblW w:w="5078" w:type="dxa"/>
        <w:jc w:val="left"/>
        <w:tblInd w:w="0" w:type="dxa"/>
        <w:tblLayout w:type="fixed"/>
        <w:tblCellMar>
          <w:top w:w="28" w:type="dxa"/>
          <w:left w:w="28" w:type="dxa"/>
          <w:bottom w:w="28" w:type="dxa"/>
          <w:right w:w="28" w:type="dxa"/>
        </w:tblCellMar>
      </w:tblPr>
      <w:tblGrid>
        <w:gridCol w:w="948"/>
        <w:gridCol w:w="832"/>
        <w:gridCol w:w="844"/>
        <w:gridCol w:w="196"/>
        <w:gridCol w:w="736"/>
        <w:gridCol w:w="109"/>
        <w:gridCol w:w="109"/>
        <w:gridCol w:w="109"/>
        <w:gridCol w:w="109"/>
        <w:gridCol w:w="196"/>
        <w:gridCol w:w="73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Over one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available-for-sale investments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that the gross unrealized losses on available-for-sale securities as of July 3, 2026 and October 3, 2025 are temporary in nature and/or do not relate to credit loss, and therefore, there is no expense for credit losses recorded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Unrealized gains and losses on available-for-sale investments are reported as a separate component of stockholders’ equity within accumulated other comprehensive income.</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Long-Term Investments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On May 28, 2026, we completed an investment in IQE plc (“Investee”), which included entering into a Subscription Agreement to purchase newly-issued ordinary shares of Investee (representing approximately 12% of Investee’s issued and outstanding ordinary shares on the date of issuance), for £30.0 million ($40.4 million) (“Equity Investment”), a five-year Convertible Loan Note Agreement with a principal balance of £15.0 million ($20.2 million) (“Debt Investment”, collectively, “Long-Term Investments”) and long-term supply agreements. The Debt Investment has a zero-coupon rate and is expected to be repaid beginning on the third anniversary of the issuance. The Debt Investment is convertible into Investee ordinary shares at a conversion price equal to the same price per share as was paid in the Equity Investment. The conversion option is available if the Debt Investment is repaid prior to the contractual maturity date, based on the occurrence of certain contingent events. Warrants for shares of Investee’s ordinary shares were issued as part of the Debt Investment, which become exercisable in lieu of conversion under the early repayment terms. In accordance with ASC 323, </w:t>
      </w:r>
      <w:r>
        <w:rPr>
          <w:rFonts w:ascii="Times New Roman;serif" w:hAnsi="Times New Roman;serif"/>
          <w:b w:val="false"/>
          <w:i/>
          <w:color w:val="000000"/>
          <w:sz w:val="20"/>
        </w:rPr>
        <w:t>Investments - Equity Method and Joint Ventures</w:t>
      </w:r>
      <w:r>
        <w:rPr>
          <w:rFonts w:ascii="Times New Roman;serif" w:hAnsi="Times New Roman;serif"/>
          <w:b w:val="false"/>
          <w:color w:val="000000"/>
          <w:sz w:val="20"/>
        </w:rPr>
        <w:t>, and upon consideration of the totality of our agreements, including our right to appoint two members to Investee’s board of directors, we concluded the Equity Investment is an equity method investment. We have elected to account for the Long-Term Investments using the fair value option for simplification. The Long-Term Investments are recorded within “Long-term investments” on the condensed consolidated balance sheet, and changes in fair value are recorded through “Gain on investment fair value” within the condensed consolidated statement of operations. The Equity Investment is valued using a market approach and the Debt Investment is valued using an income approach based on contractual future cash flows discounted to present value as of the last day of our fiscal quarter.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 2026, the Equity Investment and Debt Investment were recorded at their fair values of $90.0 million and $12.1 million, respectively, and the fair value of the warrants was not material. During the three and nine months ended July 3, 2026, we recorded a net gain of $41.5 million on Long-Term Investments, comprised of a gain of $49.6 million on the Equity Investment and a loss of $8.1 million on the Debt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FAIR VALUE AND 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group our financial assets and liabilities measured at fair value on a recurring basis in three levels, based on the markets in which the assets and liabilities are traded, and the reliability of the assumptions used to determine fair value. These levels are: </w:t>
      </w:r>
    </w:p>
    <w:tbl>
      <w:tblPr>
        <w:tblW w:w="10205" w:type="dxa"/>
        <w:jc w:val="center"/>
        <w:tblInd w:w="0" w:type="dxa"/>
        <w:tblLayout w:type="fixed"/>
        <w:tblCellMar>
          <w:top w:w="28" w:type="dxa"/>
          <w:left w:w="28" w:type="dxa"/>
          <w:bottom w:w="28" w:type="dxa"/>
          <w:right w:w="28" w:type="dxa"/>
        </w:tblCellMar>
      </w:tblPr>
      <w:tblGrid>
        <w:gridCol w:w="3413"/>
        <w:gridCol w:w="2809"/>
        <w:gridCol w:w="3983"/>
      </w:tblGrid>
      <w:tr>
        <w:trPr/>
        <w:tc>
          <w:tcPr>
            <w:tcW w:w="3413"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398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Level 1</w:t>
            </w:r>
            <w:r>
              <w:rPr>
                <w:color w:val="000000"/>
              </w:rPr>
              <w:t xml:space="preserve"> </w:t>
            </w:r>
            <w:r>
              <w:rPr>
                <w:rFonts w:ascii="Times New Roman;serif" w:hAnsi="Times New Roman;serif"/>
                <w:b w:val="false"/>
                <w:i/>
                <w:color w:val="000000"/>
                <w:sz w:val="20"/>
              </w:rPr>
              <w:t>- Quoted prices in active markets for identical assets or liabilities.</w:t>
            </w:r>
            <w:r>
              <w:rPr>
                <w:color w:val="000000"/>
              </w:rPr>
              <w:t xml:space="preserve">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Level 2 </w:t>
            </w:r>
            <w:r>
              <w:rPr>
                <w:rFonts w:ascii="Times New Roman;serif" w:hAnsi="Times New Roman;serif"/>
                <w:b w:val="false"/>
                <w:i/>
                <w:color w:val="000000"/>
                <w:sz w:val="20"/>
              </w:rPr>
              <w:t>-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Level 3</w:t>
            </w:r>
            <w:r>
              <w:rPr>
                <w:color w:val="000000"/>
              </w:rPr>
              <w:t xml:space="preserve"> </w:t>
            </w:r>
            <w:r>
              <w:rPr>
                <w:rFonts w:ascii="Times New Roman;serif" w:hAnsi="Times New Roman;serif"/>
                <w:b w:val="false"/>
                <w:i/>
                <w:color w:val="000000"/>
                <w:sz w:val="20"/>
              </w:rPr>
              <w:t>- Fair value is derived from valuation techniques in which one or more significant inputs are unobservable, including assumptions and judgments made by us.</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Assets and Liabilities Measured and Recorded at Fair Value on a Recurring Basis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measure certain assets and liabilities at fair value on a recurring basis such as our financial instruments. There have been no transfers between Level 1, 2 or 3 assets or liabilities during the three and nine months ended July 3,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consist of the following (in thousands):</w:t>
      </w:r>
    </w:p>
    <w:tbl>
      <w:tblPr>
        <w:tblW w:w="10205" w:type="dxa"/>
        <w:jc w:val="left"/>
        <w:tblInd w:w="0" w:type="dxa"/>
        <w:tblLayout w:type="fixed"/>
        <w:tblCellMar>
          <w:top w:w="28" w:type="dxa"/>
          <w:left w:w="28" w:type="dxa"/>
          <w:bottom w:w="28" w:type="dxa"/>
          <w:right w:w="28" w:type="dxa"/>
        </w:tblCellMar>
      </w:tblPr>
      <w:tblGrid>
        <w:gridCol w:w="897"/>
        <w:gridCol w:w="585"/>
        <w:gridCol w:w="594"/>
        <w:gridCol w:w="196"/>
        <w:gridCol w:w="736"/>
        <w:gridCol w:w="109"/>
        <w:gridCol w:w="109"/>
        <w:gridCol w:w="109"/>
        <w:gridCol w:w="109"/>
        <w:gridCol w:w="469"/>
        <w:gridCol w:w="1762"/>
        <w:gridCol w:w="260"/>
        <w:gridCol w:w="109"/>
        <w:gridCol w:w="109"/>
        <w:gridCol w:w="109"/>
        <w:gridCol w:w="324"/>
        <w:gridCol w:w="1217"/>
        <w:gridCol w:w="179"/>
        <w:gridCol w:w="109"/>
        <w:gridCol w:w="109"/>
        <w:gridCol w:w="109"/>
        <w:gridCol w:w="488"/>
        <w:gridCol w:w="1014"/>
        <w:gridCol w:w="394"/>
      </w:tblGrid>
      <w:tr>
        <w:trPr/>
        <w:tc>
          <w:tcPr>
            <w:tcW w:w="89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 (Level 3)</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90,013 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Non-marketable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137,363 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562,136 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r>
        <w:trPr/>
        <w:tc>
          <w:tcPr>
            <w:tcW w:w="2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9"/>
        <w:gridCol w:w="596"/>
        <w:gridCol w:w="604"/>
        <w:gridCol w:w="196"/>
        <w:gridCol w:w="736"/>
        <w:gridCol w:w="109"/>
        <w:gridCol w:w="109"/>
        <w:gridCol w:w="109"/>
        <w:gridCol w:w="109"/>
        <w:gridCol w:w="476"/>
        <w:gridCol w:w="1789"/>
        <w:gridCol w:w="264"/>
        <w:gridCol w:w="109"/>
        <w:gridCol w:w="109"/>
        <w:gridCol w:w="109"/>
        <w:gridCol w:w="327"/>
        <w:gridCol w:w="1230"/>
        <w:gridCol w:w="181"/>
        <w:gridCol w:w="109"/>
        <w:gridCol w:w="109"/>
        <w:gridCol w:w="109"/>
        <w:gridCol w:w="494"/>
        <w:gridCol w:w="1025"/>
        <w:gridCol w:w="398"/>
      </w:tblGrid>
      <w:tr>
        <w:trPr/>
        <w:tc>
          <w:tcPr>
            <w:tcW w:w="7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 (Level 3)</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63,811 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737,644 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109,184 </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628,460 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r>
        <w:trPr/>
        <w:tc>
          <w:tcPr>
            <w:tcW w:w="1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have foreign currency exposure arising from certain of our Euro and Yen denominated intercompany debt. We have entered into foreign currency exchange hedging contracts associated with this intercompany debt to partially mitigate the impact of currency rate changes. They are not designated as cash flow or fair value hedges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Changes in fair value are reported in current period earnings. These gains and losses are intended to offset the gains and losses recorded on the associated intercompany debt. We do not use derivative financial instruments for trading or speculation purposes.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and October 3, 2025, we had $58.5 million and $36.0 million, respectively, in notional forward foreign currency contracts. As of July 3, 2026 and October 3, 2025, the fair value of derivative instruments not designated as hedges was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3954" w:type="dxa"/>
        <w:jc w:val="left"/>
        <w:tblInd w:w="0" w:type="dxa"/>
        <w:tblLayout w:type="fixed"/>
        <w:tblCellMar>
          <w:top w:w="28" w:type="dxa"/>
          <w:left w:w="28" w:type="dxa"/>
          <w:bottom w:w="28" w:type="dxa"/>
          <w:right w:w="28" w:type="dxa"/>
        </w:tblCellMar>
      </w:tblPr>
      <w:tblGrid>
        <w:gridCol w:w="543"/>
        <w:gridCol w:w="477"/>
        <w:gridCol w:w="480"/>
        <w:gridCol w:w="196"/>
        <w:gridCol w:w="736"/>
        <w:gridCol w:w="109"/>
        <w:gridCol w:w="109"/>
        <w:gridCol w:w="109"/>
        <w:gridCol w:w="109"/>
        <w:gridCol w:w="196"/>
        <w:gridCol w:w="73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tbl>
      <w:tblPr>
        <w:tblW w:w="5933" w:type="dxa"/>
        <w:jc w:val="left"/>
        <w:tblInd w:w="0" w:type="dxa"/>
        <w:tblLayout w:type="fixed"/>
        <w:tblCellMar>
          <w:top w:w="28" w:type="dxa"/>
          <w:left w:w="28" w:type="dxa"/>
          <w:bottom w:w="28" w:type="dxa"/>
          <w:right w:w="28" w:type="dxa"/>
        </w:tblCellMar>
      </w:tblPr>
      <w:tblGrid>
        <w:gridCol w:w="1259"/>
        <w:gridCol w:w="1106"/>
        <w:gridCol w:w="1114"/>
        <w:gridCol w:w="196"/>
        <w:gridCol w:w="736"/>
        <w:gridCol w:w="109"/>
        <w:gridCol w:w="109"/>
        <w:gridCol w:w="109"/>
        <w:gridCol w:w="109"/>
        <w:gridCol w:w="196"/>
        <w:gridCol w:w="73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 August 2022, the U.S. government enacted the CHIPS and Science Act of 2022 (“CHIPS Act”), which provides funding for manufacturing grants and research investments and established a 25% investment tax credit </w:t>
      </w:r>
      <w:r>
        <w:rPr>
          <w:rFonts w:ascii="Times New Roman;serif" w:hAnsi="Times New Roman;serif"/>
          <w:b w:val="false"/>
          <w:color w:val="000000"/>
          <w:sz w:val="20"/>
          <w:shd w:fill="FFFFFF" w:val="clear"/>
        </w:rPr>
        <w:t xml:space="preserve">(“ITC”) </w:t>
      </w:r>
      <w:r>
        <w:rPr>
          <w:rFonts w:ascii="Times New Roman;serif" w:hAnsi="Times New Roman;serif"/>
          <w:b w:val="false"/>
          <w:color w:val="000000"/>
          <w:sz w:val="20"/>
        </w:rPr>
        <w:t xml:space="preserve">for certain qualifying investments in U.S. semiconductor manufacturing equipment. On July 4, 2025, the U.S. Congress passed a federal statute controlling tax and spending policies (the “July 4, 2025 Bill”). As part of the July 4, 2025 Bill, this ITC was increased to 35%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assets placed into service after December 31, 2025. We account for the investment tax credit as a reduction to the carrying value of the qualifying asset and record a corresponding receivable for expected tax credits in connection with the CHIPS Act. As of July 3, 2026 and October 3, 2025, there was an $8.3 million and $5.6 million reduction, respectively, to the gross carrying amounts of the qualifying assets in the condensed consolidated balance sheet.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and equipment for the three and nine months ended July 3, 2026 was $9.5 million and $28.2 million, respectively. Depreciation and amortization expense related to property and equipment for the three and nine months ended July 4, 2025 was $7.5 million and $22.2 million, respectively. Accumulated amortization on finance lease assets as of July 3, 2026 and October 3, 2025 was $11.5 million and $10.3 million, respectively.</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is as follows (in thousands):</w:t>
      </w:r>
    </w:p>
    <w:tbl>
      <w:tblPr>
        <w:tblW w:w="7200" w:type="dxa"/>
        <w:jc w:val="center"/>
        <w:tblInd w:w="0" w:type="dxa"/>
        <w:tblLayout w:type="fixed"/>
        <w:tblCellMar>
          <w:top w:w="28" w:type="dxa"/>
          <w:left w:w="28" w:type="dxa"/>
          <w:bottom w:w="28" w:type="dxa"/>
          <w:right w:w="28" w:type="dxa"/>
        </w:tblCellMar>
      </w:tblPr>
      <w:tblGrid>
        <w:gridCol w:w="924"/>
        <w:gridCol w:w="811"/>
        <w:gridCol w:w="815"/>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activity in gross intangible assets as of July 3, 2026 and October 3, 2025 is as follows (in thousands):</w:t>
      </w:r>
    </w:p>
    <w:p>
      <w:pPr>
        <w:pStyle w:val="TextBody"/>
        <w:bidi w:val="0"/>
        <w:spacing w:before="0" w:after="20"/>
        <w:jc w:val="center"/>
        <w:rPr/>
      </w:pPr>
      <w:r>
        <w:rPr/>
      </w:r>
    </w:p>
    <w:tbl>
      <w:tblPr>
        <w:tblW w:w="9566" w:type="dxa"/>
        <w:jc w:val="center"/>
        <w:tblInd w:w="0" w:type="dxa"/>
        <w:tblLayout w:type="fixed"/>
        <w:tblCellMar>
          <w:top w:w="28" w:type="dxa"/>
          <w:left w:w="28" w:type="dxa"/>
          <w:bottom w:w="28" w:type="dxa"/>
          <w:right w:w="28" w:type="dxa"/>
        </w:tblCellMar>
      </w:tblPr>
      <w:tblGrid>
        <w:gridCol w:w="1123"/>
        <w:gridCol w:w="989"/>
        <w:gridCol w:w="992"/>
        <w:gridCol w:w="353"/>
        <w:gridCol w:w="1326"/>
        <w:gridCol w:w="196"/>
        <w:gridCol w:w="109"/>
        <w:gridCol w:w="109"/>
        <w:gridCol w:w="109"/>
        <w:gridCol w:w="419"/>
        <w:gridCol w:w="1415"/>
        <w:gridCol w:w="235"/>
        <w:gridCol w:w="109"/>
        <w:gridCol w:w="109"/>
        <w:gridCol w:w="109"/>
        <w:gridCol w:w="352"/>
        <w:gridCol w:w="1162"/>
        <w:gridCol w:w="19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(19,668)</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and licensed technology</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Trade name </w:t>
            </w:r>
            <w:r>
              <w:rPr>
                <w:rFonts w:ascii="Times New Roman;serif" w:hAnsi="Times New Roman;serif"/>
                <w:b w:val="false"/>
                <w:color w:val="000000"/>
                <w:sz w:val="12"/>
              </w:rPr>
              <w:t xml:space="preserve">(1)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July 3, 2026 </w:t>
            </w:r>
            <w:r>
              <w:rPr>
                <w:rFonts w:ascii="Times New Roman;serif" w:hAnsi="Times New Roman;serif"/>
                <w:b w:val="false"/>
                <w:color w:val="000000"/>
                <w:sz w:val="12"/>
              </w:rPr>
              <w:t>(2)</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142,380 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(80,833)</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11" w:type="dxa"/>
        <w:jc w:val="center"/>
        <w:tblInd w:w="0" w:type="dxa"/>
        <w:tblLayout w:type="fixed"/>
        <w:tblCellMar>
          <w:top w:w="28" w:type="dxa"/>
          <w:left w:w="28" w:type="dxa"/>
          <w:bottom w:w="28" w:type="dxa"/>
          <w:right w:w="28" w:type="dxa"/>
        </w:tblCellMar>
      </w:tblPr>
      <w:tblGrid>
        <w:gridCol w:w="890"/>
        <w:gridCol w:w="783"/>
        <w:gridCol w:w="786"/>
        <w:gridCol w:w="353"/>
        <w:gridCol w:w="1326"/>
        <w:gridCol w:w="196"/>
        <w:gridCol w:w="109"/>
        <w:gridCol w:w="109"/>
        <w:gridCol w:w="109"/>
        <w:gridCol w:w="419"/>
        <w:gridCol w:w="1415"/>
        <w:gridCol w:w="235"/>
        <w:gridCol w:w="109"/>
        <w:gridCol w:w="109"/>
        <w:gridCol w:w="109"/>
        <w:gridCol w:w="345"/>
        <w:gridCol w:w="1138"/>
        <w:gridCol w:w="271"/>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(14,859)</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Trade name </w:t>
            </w:r>
            <w:r>
              <w:rPr>
                <w:rFonts w:ascii="Times New Roman;serif" w:hAnsi="Times New Roman;serif"/>
                <w:b w:val="false"/>
                <w:color w:val="000000"/>
                <w:sz w:val="12"/>
              </w:rPr>
              <w:t xml:space="preserve">(1) </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October 3, 2025 </w:t>
            </w:r>
            <w:r>
              <w:rPr>
                <w:rFonts w:ascii="Times New Roman;serif" w:hAnsi="Times New Roman;serif"/>
                <w:b w:val="false"/>
                <w:color w:val="000000"/>
                <w:sz w:val="12"/>
              </w:rPr>
              <w:t>(2)</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140,952 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(62,382)</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both"/>
        <w:rPr>
          <w:rFonts w:ascii="Times New Roman;serif" w:hAnsi="Times New Roman;serif"/>
          <w:b w:val="false"/>
          <w:color w:val="000000"/>
          <w:sz w:val="18"/>
        </w:rPr>
      </w:pPr>
      <w:r>
        <w:rPr>
          <w:rFonts w:ascii="Times New Roman;serif" w:hAnsi="Times New Roman;serif"/>
          <w:b w:val="false"/>
          <w:color w:val="000000"/>
          <w:sz w:val="18"/>
        </w:rPr>
        <w:t>(1) Includes an indefinite-lived trade name of $3.4 million that is not amortized.</w:t>
      </w:r>
    </w:p>
    <w:p>
      <w:pPr>
        <w:pStyle w:val="TextBody"/>
        <w:bidi w:val="0"/>
        <w:spacing w:lineRule="auto" w:line="288" w:before="0" w:after="20"/>
        <w:jc w:val="left"/>
        <w:rPr/>
      </w:pPr>
      <w:r>
        <w:rPr>
          <w:rFonts w:ascii="Times New Roman;serif" w:hAnsi="Times New Roman;serif"/>
          <w:b w:val="false"/>
          <w:color w:val="000000"/>
          <w:sz w:val="18"/>
        </w:rPr>
        <w:t>(2) Foreign intangible asset carrying amounts include foreign currency translation adjustments.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 2026, our estimated amortization of our intangible assets in future fiscal years is as follows (in thousands):</w:t>
      </w:r>
    </w:p>
    <w:tbl>
      <w:tblPr>
        <w:tblW w:w="7773" w:type="dxa"/>
        <w:jc w:val="center"/>
        <w:tblInd w:w="0" w:type="dxa"/>
        <w:tblLayout w:type="fixed"/>
        <w:tblCellMar>
          <w:top w:w="28" w:type="dxa"/>
          <w:left w:w="28" w:type="dxa"/>
          <w:bottom w:w="28" w:type="dxa"/>
          <w:right w:w="28" w:type="dxa"/>
        </w:tblCellMar>
      </w:tblPr>
      <w:tblGrid>
        <w:gridCol w:w="603"/>
        <w:gridCol w:w="529"/>
        <w:gridCol w:w="532"/>
        <w:gridCol w:w="292"/>
        <w:gridCol w:w="833"/>
        <w:gridCol w:w="164"/>
        <w:gridCol w:w="323"/>
        <w:gridCol w:w="323"/>
        <w:gridCol w:w="156"/>
        <w:gridCol w:w="278"/>
        <w:gridCol w:w="278"/>
        <w:gridCol w:w="156"/>
        <w:gridCol w:w="278"/>
        <w:gridCol w:w="278"/>
        <w:gridCol w:w="156"/>
        <w:gridCol w:w="278"/>
        <w:gridCol w:w="278"/>
        <w:gridCol w:w="156"/>
        <w:gridCol w:w="295"/>
        <w:gridCol w:w="295"/>
        <w:gridCol w:w="296"/>
        <w:gridCol w:w="196"/>
        <w:gridCol w:w="6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Remaining</w:t>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9,218 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goodwill as of July 3, 2026 is as follows (in thousands):</w:t>
      </w:r>
    </w:p>
    <w:tbl>
      <w:tblPr>
        <w:tblW w:w="4119" w:type="dxa"/>
        <w:jc w:val="left"/>
        <w:tblInd w:w="0" w:type="dxa"/>
        <w:tblLayout w:type="fixed"/>
        <w:tblCellMar>
          <w:top w:w="28" w:type="dxa"/>
          <w:left w:w="28" w:type="dxa"/>
          <w:bottom w:w="28" w:type="dxa"/>
          <w:right w:w="28" w:type="dxa"/>
        </w:tblCellMar>
      </w:tblPr>
      <w:tblGrid>
        <w:gridCol w:w="1058"/>
        <w:gridCol w:w="930"/>
        <w:gridCol w:w="936"/>
        <w:gridCol w:w="196"/>
        <w:gridCol w:w="736"/>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October 3,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Acquired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July 3,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335,416 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both"/>
        <w:rPr/>
      </w:pPr>
      <w:r>
        <w:rPr>
          <w:rFonts w:ascii="Times New Roman;serif" w:hAnsi="Times New Roman;serif"/>
          <w:b w:val="false"/>
          <w:color w:val="000000"/>
          <w:sz w:val="18"/>
        </w:rPr>
        <w:t xml:space="preserve">(1) </w:t>
      </w:r>
      <w:r>
        <w:rPr>
          <w:rFonts w:ascii="Times New Roman;serif" w:hAnsi="Times New Roman;serif"/>
          <w:b w:val="false"/>
          <w:color w:val="000000"/>
          <w:sz w:val="20"/>
        </w:rPr>
        <w:t xml:space="preserve">The acquired balance consists of an immaterial change related to the ENGIN-IC Acquisition. For additional information refer to </w:t>
      </w:r>
      <w:r>
        <w:rPr>
          <w:rFonts w:ascii="Times New Roman;serif" w:hAnsi="Times New Roman;serif"/>
          <w:b w:val="false"/>
          <w:i/>
          <w:color w:val="000000"/>
          <w:sz w:val="20"/>
        </w:rPr>
        <w:t>Note 3 - Acquisitions.</w:t>
      </w:r>
    </w:p>
    <w:p>
      <w:pPr>
        <w:pStyle w:val="TextBody"/>
        <w:bidi w:val="0"/>
        <w:spacing w:before="6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(in thousands):</w:t>
      </w:r>
    </w:p>
    <w:tbl>
      <w:tblPr>
        <w:tblW w:w="5771" w:type="dxa"/>
        <w:jc w:val="left"/>
        <w:tblInd w:w="0" w:type="dxa"/>
        <w:tblLayout w:type="fixed"/>
        <w:tblCellMar>
          <w:top w:w="28" w:type="dxa"/>
          <w:left w:w="28" w:type="dxa"/>
          <w:bottom w:w="28" w:type="dxa"/>
          <w:right w:w="28" w:type="dxa"/>
        </w:tblCellMar>
      </w:tblPr>
      <w:tblGrid>
        <w:gridCol w:w="1124"/>
        <w:gridCol w:w="988"/>
        <w:gridCol w:w="993"/>
        <w:gridCol w:w="207"/>
        <w:gridCol w:w="683"/>
        <w:gridCol w:w="115"/>
        <w:gridCol w:w="109"/>
        <w:gridCol w:w="109"/>
        <w:gridCol w:w="109"/>
        <w:gridCol w:w="262"/>
        <w:gridCol w:w="866"/>
        <w:gridCol w:w="206"/>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48,236 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and licensed technology</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87,531 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95,959 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outstanding balances and effective interest rates of our borrowings as of July 3, 2026 and October 3, 2025, (in thousands, except percentages):</w:t>
      </w:r>
    </w:p>
    <w:tbl>
      <w:tblPr>
        <w:tblW w:w="10205" w:type="dxa"/>
        <w:jc w:val="left"/>
        <w:tblInd w:w="0" w:type="dxa"/>
        <w:tblLayout w:type="fixed"/>
        <w:tblCellMar>
          <w:top w:w="28" w:type="dxa"/>
          <w:left w:w="28" w:type="dxa"/>
          <w:bottom w:w="28" w:type="dxa"/>
          <w:right w:w="28" w:type="dxa"/>
        </w:tblCellMar>
      </w:tblPr>
      <w:tblGrid>
        <w:gridCol w:w="1311"/>
        <w:gridCol w:w="1147"/>
        <w:gridCol w:w="1160"/>
        <w:gridCol w:w="379"/>
        <w:gridCol w:w="783"/>
        <w:gridCol w:w="211"/>
        <w:gridCol w:w="396"/>
        <w:gridCol w:w="395"/>
        <w:gridCol w:w="937"/>
        <w:gridCol w:w="109"/>
        <w:gridCol w:w="109"/>
        <w:gridCol w:w="109"/>
        <w:gridCol w:w="259"/>
        <w:gridCol w:w="973"/>
        <w:gridCol w:w="143"/>
        <w:gridCol w:w="362"/>
        <w:gridCol w:w="361"/>
        <w:gridCol w:w="1061"/>
      </w:tblGrid>
      <w:tr>
        <w:trPr/>
        <w:tc>
          <w:tcPr>
            <w:tcW w:w="131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17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17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r>
      <w:tr>
        <w:trPr/>
        <w:tc>
          <w:tcPr>
            <w:tcW w:w="3618"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0.25% convertible notes due March 2026</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 convertible notes due December 2029</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 outstanding</w:t>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344,316 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505,467 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debt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 on deferred financing costs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339,630 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2029 Convertible Notes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19, 2024, we issued 0.00% convertible senior notes due in fiscal year 2030, pursuant to an indenture dated as of such date (the “2024 Indenture”), between the Company and U.S. Bank National Association, as trustee, with an aggregate principal amount of $344.3 million (the “2029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Holders of the 2029 Convertible Notes may convert their notes at their option at any time prior to the close of business on the business day immediately preceding September 15, 2029 in multiples of $1,000 principal amount, only under the following circumstances: (i) during any fiscal quarter commencing after the fiscal quarter ending on April 4, 2025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notes on each applicable trading day (the “Stock Price Trigger”); (ii) during the five business day period after any five consecutive trading day period (the “Measurement Period”) in which the “trading price” (as defined in the 2024 Indenture) per $1,000 principal amount of the notes for each trading day of the Measurement Period was less than 98% of the product of the last reported sale price of our common stock and the conversion rate for the notes on each such trading day; (iii) if we call such notes for redemption, at any time prior to the close of business on the second scheduled trading day immediately preceding the redemption date; or (iv) upon the occurrence of specified corporate events described in the 2024 Indenture. On or after September 15, 2029 until the close of business on the second scheduled trading day immediately preceding the maturity date, the holders may convert their notes, in multiples of $1,000 principal amount, regardless of the foregoing circumstances.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initial conversion rate for the 2029 Convertible Notes is 5.7463 shares of common stock (subject to adjustment as provided for in the 2024 Indenture) per $1,000 principal amount of the notes, which is equal to an initial conversion price of approximately $174.03 per share of common stock.</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2029 Convertible Notes do not bear regular interest, and the principal amount of the notes does not accrete. The notes are senior unsecured obligations of the Company and will mature on December 15, 2029, unless earlier redeemed, repurchased or converted. Upon conversion of the 2029 Convertible Notes, we are required to pay cash up to the aggregate principal amount of the notes to be converted and pay or deliver, as the case may be, cash, shares of our common stock or a combination of cash and shares of our common stock, at our election, in respect of the remainder, if any, of our conversion obligation in excess of the aggregate principal amount of the notes being converted (subject to, and in accordance with, the settlement provisions of the 2024 Indenture). We must notify the holders of the 2029 Convertible Notes of our settlement method for our conversion obligation in excess of the aggregate principal amount no later than September 15, 2029, for conversions occurring on or after that date. We may redeem for cash all or any portion of the notes, at our option, </w:t>
      </w:r>
      <w:r>
        <w:rPr>
          <w:rFonts w:ascii="Times New Roman;serif" w:hAnsi="Times New Roman;serif"/>
          <w:b w:val="false"/>
          <w:color w:val="000000"/>
          <w:sz w:val="20"/>
        </w:rPr>
        <w:t>on or after December 20, 2027 and prior to September 15, 2029 if</w:t>
      </w:r>
      <w:r>
        <w:rPr>
          <w:color w:val="000000"/>
          <w:shd w:fill="FFFFFF" w:val="clear"/>
        </w:rPr>
        <w:t xml:space="preserve"> </w:t>
      </w:r>
      <w:r>
        <w:rPr>
          <w:rFonts w:ascii="Times New Roman;serif" w:hAnsi="Times New Roman;serif"/>
          <w:b w:val="false"/>
          <w:color w:val="000000"/>
          <w:sz w:val="20"/>
          <w:shd w:fill="FFFFFF" w:val="clear"/>
        </w:rPr>
        <w:t xml:space="preserve">the last reported sale price per share of our common stock has been at least 130% of the conversion price then in effect for at least 20 trading days (whether or not consecutive), including the trading day immediately preceding the date on which we provide notice of redemption, during any thirty (30) consecutive trading day period ending on, and including, the trading day immediately preceding the date on which we provide notice of redemption, at a redemption price equal to 100% of the principal amount of the notes to be redeemed, plus accrued and unpaid interest, to, but not including, the redemption date.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2024 Indenture does not contain any financial or operating covenants or restrictions on the payments of dividends, the making of investments, the incurrence of indebtedness or the purchase or prepayment of securities by us or any of our subsidiaries.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July 3, 2026, the Stock Price Trigger was satisfied, and as a result, holders of our 2029 Convertible Notes may convert their notes at their option at any time during our fourth fiscal quarter ending October 2, 2026, and the 2029 Convertible Notes balance of $340.5 million, net of deferred financing costs, is classified as short-term debt in our condensed consolidated balance sheet.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July 3, 2026, total interest expense for the 2029 Convertible Notes was $0.3 million and $0.8 million, respectively, which represents amortization of issuance costs. For the three and nine months ended July 4, 2025, total interest expense for the 2029 Convertible Notes was $0.3 million and $0.6 million, respectively, which represents amortization of issuance costs.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fair value of our 2029 Convertible Notes was </w:t>
      </w:r>
      <w:r>
        <w:rPr>
          <w:rFonts w:ascii="Times New Roman;serif" w:hAnsi="Times New Roman;serif"/>
          <w:b w:val="false"/>
          <w:color w:val="000000"/>
          <w:sz w:val="20"/>
        </w:rPr>
        <w:t xml:space="preserve">$791.9 million and $353.3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July 3, 2026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October 3, 2025, respectively. The fair value </w:t>
      </w:r>
      <w:r>
        <w:rPr>
          <w:rFonts w:ascii="Times New Roman;serif" w:hAnsi="Times New Roman;serif"/>
          <w:b w:val="false"/>
          <w:color w:val="000000"/>
          <w:sz w:val="20"/>
          <w:shd w:fill="FFFFFF" w:val="clear"/>
        </w:rPr>
        <w:t>was determined based on quoted prices in markets that are not active, which is considered a Level 2 valuation input.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full principal amount of the 2029 Convertible Notes of $344.3 million is due on December 15, 2029.</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2026 Convertible Notes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2021, we issued 0.25% convertible senior notes due in fiscal year 2026, pursuant to an indenture dated as of such date (the “2021 Indenture”), between the Company and U.S. Bank National Association, as trustee, with an aggregate principal amount of $400.0 million (the “Initial Notes”), and on April 6, 2021, we issued an additional $50.0 million aggregate principal amount (the “Additional Notes”) (together, the “2026 Convertible Notes”). The Additional Notes were issued and sold to the initial purchaser of the Initial Notes, pursuant to the option to purchase the Additional Notes granted by the Company to the initial purchaser and have the same terms as the Initial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On December 12, 2024, we entered into separate, privately negotiated exchange and subscription agreements (the “Exchange and Subscription Agreements”) with a limited number of holders of the 2026 Convertible Notes. Under the terms of the Exchange and Subscription Agreements, the holders exchanged $288.8 million in aggregate principal amount of 2026 Convertible Notes held by them for $257.7 million of our 2029 Convertible Notes (defined above), 1,582,958 newly-issued shares of the Company’s common stock, par value $0.001 per share, issued at a fair value of $205.9 million, and $17.6 million in cash (collectively, the “Exchanges”). The Exchanges resulted in aggregate pre-tax debt extinguishment charges of $193.1 million. The Company also issued approximately $86.6 million in additional aggregate principal amount of the 2029 Convertible Notes in a private placement to certain investors (the “Subscription” and, together with the Exchanges, the “Transactions”). The Transactions closed on December 19, 2024. </w:t>
      </w:r>
      <w:r>
        <w:rPr>
          <w:rFonts w:ascii="Times New Roman;serif" w:hAnsi="Times New Roman;serif"/>
          <w:b w:val="false"/>
          <w:color w:val="000000"/>
          <w:sz w:val="20"/>
          <w:shd w:fill="FFFFFF" w:val="clear"/>
        </w:rPr>
        <w:t>Following the closing of the Transactions</w:t>
      </w:r>
      <w:r>
        <w:rPr>
          <w:rFonts w:ascii="Times New Roman;serif" w:hAnsi="Times New Roman;serif"/>
          <w:b w:val="false"/>
          <w:color w:val="000000"/>
          <w:sz w:val="20"/>
        </w:rPr>
        <w:t>, the aggregate principal balance of the 2026 Convertible Notes was $161.2 million and the terms of the 2021 Indenture were unchanged.</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 September 2025, certain holders exercised their right to convert $0.5 million of the notes. The transaction settled during the first fiscal quarter of 2026 and we paid $0.5 million principal in cash and issued 2,610 shares of our common stock for the conversion premium, par value $0.001 per share, issued at a fair value of $0.5 million. On March 16, 2026, pursuant to the terms of the 2021 Indenture, we settled the remaining 2026 Convertible Notes and paid the total outstanding principal balance of $160.7 million in cash and issued 1,259,111 shares of our common stock for the conversion premium, par value $0.001 per share, issued at a fair value of $283.2 million. There was no gain or loss recognized for these transactions in our condensed consolidated statement of operations and there was an immaterial amount recognized in additional paid-in capital in our condensed consolidated balance sheets for these transactions.</w:t>
      </w:r>
      <w:r>
        <w:rPr>
          <w:color w:val="000000"/>
        </w:rPr>
        <w:t xml:space="preserv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For the nine months ended July 3, 2026, total interest expense for the 2026 Convertible Notes was $0.4 million of which $0.2 million was for coupon interest. For the three and nine months ended July 4, 2025, total interest expense for the 2026 Convertible Notes was $0.5 million and $1.6 million, respectively, of which $0.1 million and $0.5 million, respectively, was for coupon interest.</w:t>
      </w:r>
      <w:r>
        <w:rPr>
          <w:color w:val="00000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our 2026 Convertible Notes was $251.6 million as of October 3, 2025 and was determined based on quoted prices in markets that are not active, which is considered a Level 2 valuation input.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11. F</w:t>
      </w:r>
      <w:r>
        <w:rPr>
          <w:rFonts w:ascii="Times New Roman;serif" w:hAnsi="Times New Roman;serif"/>
          <w:b/>
          <w:color w:val="000000"/>
          <w:sz w:val="20"/>
          <w:shd w:fill="FFFFFF" w:val="clear"/>
        </w:rPr>
        <w:t>INANCING OBLIGATIONS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are party to a power purchase agreement for the use of electric power and thermal energy producing systems at our fabrication facility in Lowell, Massachusetts. </w:t>
      </w:r>
      <w:r>
        <w:rPr>
          <w:rFonts w:ascii="Times New Roman;serif" w:hAnsi="Times New Roman;serif"/>
          <w:b w:val="false"/>
          <w:color w:val="000000"/>
          <w:sz w:val="20"/>
          <w:shd w:fill="FFFFFF" w:val="clear"/>
        </w:rPr>
        <w:t xml:space="preserve">We do not own these systems; however, we control the use of the assets during operation. As of July 3, 2026 and </w:t>
      </w:r>
      <w:r>
        <w:rPr>
          <w:rFonts w:ascii="Times New Roman;serif" w:hAnsi="Times New Roman;serif"/>
          <w:b w:val="false"/>
          <w:color w:val="000000"/>
          <w:sz w:val="20"/>
        </w:rPr>
        <w:t>October 3, 2025</w:t>
      </w:r>
      <w:r>
        <w:rPr>
          <w:rFonts w:ascii="Times New Roman;serif" w:hAnsi="Times New Roman;serif"/>
          <w:b w:val="false"/>
          <w:color w:val="000000"/>
          <w:sz w:val="20"/>
          <w:shd w:fill="FFFFFF" w:val="clear"/>
        </w:rPr>
        <w:t>, the net book value of the systems in Property and equipment, net was $7.1 million and $7.5 million, respectively, and the corresponding liability was $8.7 million and $9.0 million, respectively, primarily classified in Financing obligation on our condensed consolidated balance sheet.</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Sale-Leaseback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lease for the wafer fabrication facility in Research Triangle Park (“RTP”), North Carolina (the “RTP Fab”) is considered a failed sale-leaseback for accounting purposes. Accordingly, we recognize this transaction as a financing arrangement. As of July 3, 2026 and October 3, 2025, the net book value of the land and building in Property and equipment, net was $28.2 million and $28.6 million, respectively, and the corresponding liability was $28.4 million and $28.5 million, respectively, primarily classified in Financing obligation on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for basic and diluted net income (loss) per share of common stock (in thousands, except per share data):</w:t>
      </w:r>
    </w:p>
    <w:tbl>
      <w:tblPr>
        <w:tblW w:w="10205" w:type="dxa"/>
        <w:jc w:val="center"/>
        <w:tblInd w:w="0" w:type="dxa"/>
        <w:tblLayout w:type="fixed"/>
        <w:tblCellMar>
          <w:top w:w="28" w:type="dxa"/>
          <w:left w:w="28" w:type="dxa"/>
          <w:bottom w:w="28" w:type="dxa"/>
          <w:right w:w="28" w:type="dxa"/>
        </w:tblCellMar>
      </w:tblPr>
      <w:tblGrid>
        <w:gridCol w:w="1584"/>
        <w:gridCol w:w="1067"/>
        <w:gridCol w:w="1059"/>
        <w:gridCol w:w="251"/>
        <w:gridCol w:w="943"/>
        <w:gridCol w:w="139"/>
        <w:gridCol w:w="139"/>
        <w:gridCol w:w="139"/>
        <w:gridCol w:w="139"/>
        <w:gridCol w:w="256"/>
        <w:gridCol w:w="845"/>
        <w:gridCol w:w="142"/>
        <w:gridCol w:w="139"/>
        <w:gridCol w:w="139"/>
        <w:gridCol w:w="139"/>
        <w:gridCol w:w="251"/>
        <w:gridCol w:w="943"/>
        <w:gridCol w:w="139"/>
        <w:gridCol w:w="139"/>
        <w:gridCol w:w="139"/>
        <w:gridCol w:w="139"/>
        <w:gridCol w:w="251"/>
        <w:gridCol w:w="875"/>
        <w:gridCol w:w="209"/>
      </w:tblGrid>
      <w:tr>
        <w:trPr/>
        <w:tc>
          <w:tcPr>
            <w:tcW w:w="158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outstanding-basic</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stock options, restricted stock and restricted stock units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convertible notes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outstanding-diluted</w:t>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73,828 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to common stockholders per share-basic:</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to common stockholders per share-diluted:</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potential common shares, presented based on amounts outstanding at each period end, from the computation of diluted net income (loss) per share attributable to common stockholders for the periods indicated because including them would have had an anti-dilutive effect:</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Anti-dilutive shares excluded related to:</w:t>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stock options, restricted stock and restricted stock units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From time to time, we may be subject to commercial disputes, employment issues, claims by other companies in the industry that we have infringed their intellectual property rights and other similar claims and litigation. Any such claims may lead to future litigation and material damages and defense costs. </w:t>
      </w:r>
      <w:r>
        <w:rPr>
          <w:rFonts w:ascii="Times New Roman;serif" w:hAnsi="Times New Roman;serif"/>
          <w:b w:val="false"/>
          <w:color w:val="000000"/>
          <w:sz w:val="20"/>
        </w:rPr>
        <w:t>We were not involved in any material pending legal proceedings duri</w:t>
      </w:r>
      <w:r>
        <w:rPr>
          <w:rFonts w:ascii="Times New Roman;serif" w:hAnsi="Times New Roman;serif"/>
          <w:b w:val="false"/>
          <w:color w:val="000000"/>
          <w:sz w:val="20"/>
          <w:shd w:fill="FFFFFF" w:val="clear"/>
        </w:rPr>
        <w:t>ng the three and nine months ended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STOCKHOLDERS’ EQUITY AND SHARE-BASED COMPENSATION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authorized 10 million shares of $0.001 par value preferred stock and 300 million shares of $0.001 par value common stock as of July 3, 2026.</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Stock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July 3, 2026, we had approximately 2.5 million shares available for issuance under our 2021 Omnibus Incentive Plan (the “2021 Plan”) and approximately 0.9 million shares available for issuance under our 2021 Employee Stock Purchase Plan (the “Employee Stock Purchase Plan”). Under the 2021 Plan, we have the ability to issue incentive stock options (“ISOs”), non-statutory stock options (“NSOs”), stock appreciation rights (“SARs”), restricted stock awards (“RSAs”), unrestricted stock awards, stock units (including restricted stock units (“RSUs”) and performance-based restricted stock units (“PRSUs”)), performance awards, cash awards, and other share-based awards to employees, directors, consultants and advisors. The ISOs and NSOs must be granted at an exercise price, and the SARs must be granted at a base value, per share of not less than 100% of the closing price of a share of our common stock on the date of grant (or, if no closing price is reported on that date, the closing price on the immediately preceding date on which a closing price was reported) (110% in the case of certain ISOs). Certain of the share-based awards granted and outstanding as of July 3, 2026 are subject to accelerated vesting upon a change in control of the Company.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Incentive Stock Units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Aside from the equity plans described above, we also grant incentive stock units (“ISUs”) to certain of our international employees which typically vest over three years and for which the fair value is determined by our underlying stock price, which are classified as liabilities and settled in cash upon vesting.</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July 3, 2026 and October 3, 2025, the fair value of outstanding ISUs was $10.1 million and $5.1 million, respectively, and the associated accrued compensation liability was $6.1 million and $3.7 million, respectively. During the three and nine months ended July 3, 2026, we recorded an expense for ISU awards of $2.7 million and $5.9 million, respectively. During the three and nine months ended July 4, 2025, we recorded</w:t>
      </w:r>
      <w:r>
        <w:rPr>
          <w:color w:val="000000"/>
          <w:shd w:fill="FFFFFF" w:val="clear"/>
        </w:rPr>
        <w:t xml:space="preserve"> </w:t>
      </w:r>
      <w:r>
        <w:rPr>
          <w:rFonts w:ascii="Times New Roman;serif" w:hAnsi="Times New Roman;serif"/>
          <w:b w:val="false"/>
          <w:color w:val="000000"/>
          <w:sz w:val="20"/>
          <w:shd w:fill="FFFFFF" w:val="clear"/>
        </w:rPr>
        <w:t xml:space="preserve">an expense </w:t>
      </w:r>
      <w:r>
        <w:rPr>
          <w:rFonts w:ascii="Times New Roman;serif" w:hAnsi="Times New Roman;serif"/>
          <w:b w:val="false"/>
          <w:color w:val="000000"/>
          <w:sz w:val="20"/>
        </w:rPr>
        <w:t>for ISU awards of $1.8 million and $3.0 million, respectively. These expenses are not included in the share-based compensation expense totals below.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share-based compensation expense included in the condensed consolidated statements of operations (in thousands):</w:t>
      </w:r>
    </w:p>
    <w:tbl>
      <w:tblPr>
        <w:tblW w:w="7874" w:type="dxa"/>
        <w:jc w:val="center"/>
        <w:tblInd w:w="0" w:type="dxa"/>
        <w:tblLayout w:type="fixed"/>
        <w:tblCellMar>
          <w:top w:w="28" w:type="dxa"/>
          <w:left w:w="28" w:type="dxa"/>
          <w:bottom w:w="28" w:type="dxa"/>
          <w:right w:w="28" w:type="dxa"/>
        </w:tblCellMar>
      </w:tblPr>
      <w:tblGrid>
        <w:gridCol w:w="1103"/>
        <w:gridCol w:w="968"/>
        <w:gridCol w:w="97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share-based compensation expense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 2026, the total unrecognized compensation costs related to RSUs and PRSUs was $119.3 million, which we expect to recognize over a weighted-average period of 1.9 years. As of July 3, 2026, total unrecognized compensation cost related to our Employee Stock Purchase Plan was $1.9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 Units and Performance-Based Restricted Stock Units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RSU and PRSU activity for the nine months ended July 3, 2026 is as follows:</w:t>
      </w:r>
    </w:p>
    <w:tbl>
      <w:tblPr>
        <w:tblW w:w="6040" w:type="dxa"/>
        <w:jc w:val="left"/>
        <w:tblInd w:w="0" w:type="dxa"/>
        <w:tblLayout w:type="fixed"/>
        <w:tblCellMar>
          <w:top w:w="28" w:type="dxa"/>
          <w:left w:w="28" w:type="dxa"/>
          <w:bottom w:w="28" w:type="dxa"/>
          <w:right w:w="28" w:type="dxa"/>
        </w:tblCellMar>
      </w:tblPr>
      <w:tblGrid>
        <w:gridCol w:w="911"/>
        <w:gridCol w:w="801"/>
        <w:gridCol w:w="808"/>
        <w:gridCol w:w="459"/>
        <w:gridCol w:w="459"/>
        <w:gridCol w:w="461"/>
        <w:gridCol w:w="109"/>
        <w:gridCol w:w="109"/>
        <w:gridCol w:w="109"/>
        <w:gridCol w:w="357"/>
        <w:gridCol w:w="1177"/>
        <w:gridCol w:w="280"/>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Balance as of October 3, 2025</w:t>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97.19 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Performance-based adjustment </w:t>
            </w:r>
            <w:r>
              <w:rPr>
                <w:rFonts w:ascii="Times New Roman;serif" w:hAnsi="Times New Roman;serif"/>
                <w:b w:val="false"/>
                <w:color w:val="000000"/>
                <w:sz w:val="12"/>
              </w:rPr>
              <w:t xml:space="preserve">(1) </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released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canceled or expired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July 3, 2026</w:t>
            </w:r>
          </w:p>
        </w:tc>
        <w:tc>
          <w:tcPr>
            <w:tcW w:w="9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pPr>
      <w:r>
        <w:rPr>
          <w:rFonts w:ascii="Times New Roman;serif" w:hAnsi="Times New Roman;serif"/>
          <w:b w:val="false"/>
          <w:color w:val="000000"/>
          <w:sz w:val="20"/>
        </w:rPr>
        <w:t xml:space="preserve">(1) The amount shown represents performance adjustments for </w:t>
      </w:r>
      <w:r>
        <w:rPr>
          <w:rFonts w:ascii="Times New Roman;serif" w:hAnsi="Times New Roman;serif"/>
          <w:b w:val="false"/>
          <w:color w:val="000000"/>
          <w:sz w:val="20"/>
          <w:shd w:fill="FFFFFF" w:val="clear"/>
        </w:rPr>
        <w:t>performance-based awards. These were granted in prior fiscal years and vested during the nine months ended July 3, 2026 based on the Company’s achievement of adjusted earnings per share and total shareholder return performance conditions.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awards that vested during the nine months ended July 3, 2026 and July 4, 2025 had combined fair values of $147.8 million and $117.6 million, respectively, as of the vesting date. RSUs granted generally vest over a period of three years.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Market-based PRSUs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granted 107,977 market-based PRSUs during the nine months ended July 3, 2026, at a weighted average grant date fair value of $215.59 per share. Recipients may earn between 0% and 200% of the target number of shares based on the Company’s achievement of total stockholder return in comparison to a peer group of companies in the PHLX Semiconductor Sector Index (^SOX) over a period of approximately three years. The fair value of the awards was estimated using a Monte Carlo simulation and compensation expense is recognized ratably over the service period based on the grant date fair value of the awards subject to the market condition. The expected volatility of the Company’s common stock was estimated based on the historical average volatility rate over the three-year period. The dividend yield assumption was based on historical and anticipated dividend payouts. The risk-free rate assumption was based on observed interest rates consistent with the three-year measurement period.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assumptions used to value the market-based PRSU awards are as follows:</w:t>
      </w:r>
    </w:p>
    <w:tbl>
      <w:tblPr>
        <w:tblW w:w="6405" w:type="dxa"/>
        <w:jc w:val="center"/>
        <w:tblInd w:w="0" w:type="dxa"/>
        <w:tblLayout w:type="fixed"/>
        <w:tblCellMar>
          <w:top w:w="28" w:type="dxa"/>
          <w:left w:w="28" w:type="dxa"/>
          <w:bottom w:w="28" w:type="dxa"/>
          <w:right w:w="28" w:type="dxa"/>
        </w:tblCellMar>
      </w:tblPr>
      <w:tblGrid>
        <w:gridCol w:w="1757"/>
        <w:gridCol w:w="1541"/>
        <w:gridCol w:w="1547"/>
        <w:gridCol w:w="666"/>
        <w:gridCol w:w="370"/>
        <w:gridCol w:w="524"/>
      </w:tblGrid>
      <w:tr>
        <w:trPr/>
        <w:tc>
          <w:tcPr>
            <w:tcW w:w="175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 date stock price</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151.20</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stock price at the start of the performance period</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128.76</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risk free interest rate</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years to maturity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volatility rate</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dividend yield</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 in the U.S. as well as other tax jurisdictions in which we conduct business. Earnings from non-U.S. activities are subject to local country income tax and may also be subject to U.S. income tax. For interim periods, we record a tax provision or benefit based upon the estimated effective tax rate expected for the full fiscal year, adjusted for material discrete taxation matters arising during the interim periods. Our quarterly tax provision or benefit, and our quarterly estimate of the annual effective tax rate, are subject to significant variation due to several factors. These factors include items such as variability in accurately predicting pre-tax income/loss, the mix of income in jurisdictions in which we operate, intercompany transactions, changes in how we do business, tax law developments, including, but not limited to, impacts associated with the July 4, 2025 Bill, the realizability of our deferred tax assets, any related valuation allowance and relative changes in permanent tax benefits or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and effective income tax rate are as follows (in thousands, except percentages):</w:t>
      </w:r>
    </w:p>
    <w:tbl>
      <w:tblPr>
        <w:tblW w:w="7187" w:type="dxa"/>
        <w:jc w:val="center"/>
        <w:tblInd w:w="0" w:type="dxa"/>
        <w:tblLayout w:type="fixed"/>
        <w:tblCellMar>
          <w:top w:w="28" w:type="dxa"/>
          <w:left w:w="28" w:type="dxa"/>
          <w:bottom w:w="28" w:type="dxa"/>
          <w:right w:w="28" w:type="dxa"/>
        </w:tblCellMar>
      </w:tblPr>
      <w:tblGrid>
        <w:gridCol w:w="673"/>
        <w:gridCol w:w="592"/>
        <w:gridCol w:w="594"/>
        <w:gridCol w:w="196"/>
        <w:gridCol w:w="646"/>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301"/>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U.S. federal statutory income tax rate of 21% and our effective income tax rate for the nine months ended July 3, 2026 was primarily driven by favorable discrete items related to share-based compensation and our research and development (“R&amp;D”) tax credits. The difference between the U.S. federal statutory income tax rate of 21% and our effective income tax rate for the nine months ended July 4, 2025 was primarily driven by the non-deductibility of our loss on extinguishment of debt, favorable discrete items related to stock-based compensation and our R&amp;D tax credits.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deferred tax assets to the extent that we believe that these assets are more likely than not to be realized. In making this determination, we consider available positive and negative evidence. We look at factors that may impact the valuation of our deferred tax assets including results of recent operations, future reversals of existing taxable temporary differences, projected future taxable income and tax-planning strategies.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The July 4, 2025 Bill</w:t>
      </w:r>
      <w:r>
        <w:rPr>
          <w:color w:val="000000"/>
        </w:rPr>
        <w:t xml:space="preserve"> </w:t>
      </w:r>
      <w:r>
        <w:rPr>
          <w:rFonts w:ascii="Times New Roman;serif" w:hAnsi="Times New Roman;serif"/>
          <w:b w:val="false"/>
          <w:color w:val="000000"/>
          <w:sz w:val="20"/>
        </w:rPr>
        <w:t>permits d</w:t>
      </w:r>
      <w:r>
        <w:rPr>
          <w:rFonts w:ascii="Times New Roman;serif" w:hAnsi="Times New Roman;serif"/>
          <w:b w:val="false"/>
          <w:color w:val="000000"/>
          <w:sz w:val="20"/>
          <w:shd w:fill="FFFFFF" w:val="clear"/>
        </w:rPr>
        <w:t xml:space="preserve">eduction of applicable domestic research and development costs in the year they are incurred and no longer requires the deferral and amortization of these costs over five years, among other changes. This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 effective beginning in our fiscal year ending October 2, 2026. The July 4, 2025 Bill permits the acceleration of our unamortized balance of domestic research and development expenses which were previously deferred.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unrecognized tax benefits as of July 3, 2026 and October 3, 2025. It is our policy to recognize any interest and penalties accrued related to unrecognized tax benefits in income tax expense. During the fiscal quarters ended July 3, 2026 and July 4, 2025, we did not make any accrual or payment of interest or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SUPPLEMENTAL CASH FLOW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supplemental cash flow information for the periods presented (in thousands):</w:t>
      </w:r>
    </w:p>
    <w:tbl>
      <w:tblPr>
        <w:tblW w:w="8213" w:type="dxa"/>
        <w:jc w:val="left"/>
        <w:tblInd w:w="0" w:type="dxa"/>
        <w:tblLayout w:type="fixed"/>
        <w:tblCellMar>
          <w:top w:w="28" w:type="dxa"/>
          <w:left w:w="28" w:type="dxa"/>
          <w:bottom w:w="28" w:type="dxa"/>
          <w:right w:w="28" w:type="dxa"/>
        </w:tblCellMar>
      </w:tblPr>
      <w:tblGrid>
        <w:gridCol w:w="2081"/>
        <w:gridCol w:w="1836"/>
        <w:gridCol w:w="1842"/>
        <w:gridCol w:w="196"/>
        <w:gridCol w:w="736"/>
        <w:gridCol w:w="109"/>
        <w:gridCol w:w="109"/>
        <w:gridCol w:w="109"/>
        <w:gridCol w:w="109"/>
        <w:gridCol w:w="196"/>
        <w:gridCol w:w="736"/>
        <w:gridCol w:w="154"/>
      </w:tblGrid>
      <w:tr>
        <w:trPr/>
        <w:tc>
          <w:tcPr>
            <w:tcW w:w="208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convertible note exchange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settlement of convertible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 obtained in exchange for new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net included in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licenses and licensed technology included in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SEGMENT REPORTING, GEOGRAPHIC AND SIGNIFICANT CUSTOMER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one reportable operating segment that designs, develops, manufactures and markets semiconductors and modules. The determination of the number of reportable operating segments is based on the chief operating decision maker’s (“CODM”) use of financial information provided for the purposes of assessing performance and making operating decisions. The Company's CODM is its President and Chief Executive Officer and Chair of the Board. In evaluating financial performance and making operating decisions, the CODM primarily uses consolidated metrics. The Company assesses its determination of operating segments at least annually. We continue to evaluate our internal reporting structure, changes to our business and the potential impact of these changes on our segment reporting. The accounting policies of the single operating segment are the same as those described in the summary of significant account policies.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CODM uses consolidated gross profit and net income (loss) to assess financial performance against prior periods and our competitors, to decide how to allocate resources and to evaluate income generated from segment assets in deciding whether to reinvest profits into our operations or into other parts of the entity, such as for acquisitions or other investments. The measure of segment assets is reported on the balance sheet as total assets. Financial forecasts and budget to actual results used by the CODM to assess performance and allocate resources, as well as those used for strategic decisions related to headcount and capital expenditures are also reviewed on a consolidated basis.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 summary of consolidated net income (loss) inclusive of significant segment expenses and other expense information provided to the CODM (in thousands):</w:t>
      </w:r>
    </w:p>
    <w:tbl>
      <w:tblPr>
        <w:tblW w:w="10005" w:type="dxa"/>
        <w:jc w:val="center"/>
        <w:tblInd w:w="0" w:type="dxa"/>
        <w:tblLayout w:type="fixed"/>
        <w:tblCellMar>
          <w:top w:w="28" w:type="dxa"/>
          <w:left w:w="28" w:type="dxa"/>
          <w:bottom w:w="28" w:type="dxa"/>
          <w:right w:w="28" w:type="dxa"/>
        </w:tblCellMar>
      </w:tblPr>
      <w:tblGrid>
        <w:gridCol w:w="1739"/>
        <w:gridCol w:w="1532"/>
        <w:gridCol w:w="154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including cash incentive stock units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 of interest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Excludes share-based compensation including cash incentive stock units, amortization expense and acquisition- and integration-related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Includes share-based compensation expense for awards that are equity and liability classified on our balance sheet and the related employer tax expense at vesting.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Relates to acquired intangible assets and excludes amortization for purchased software licenses and licensed technology.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expense information is based on management’s internal view of expense classification when reviewing aspects of financial and operating performance of the business, and may not be representative of expense classification that is comparable to other peer companies’ internal management views. As a result, this expense information should not be considered in isolation or as substitute for analysis of the Company’s results in conjunction with the accompanying condensed consolidated financial statements and notes thereto.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Geographic and Significant Customer Information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information about our revenue in different geographic regions, based upon customer locations, see </w:t>
      </w:r>
      <w:r>
        <w:rPr>
          <w:rFonts w:ascii="Times New Roman;serif" w:hAnsi="Times New Roman;serif"/>
          <w:b w:val="false"/>
          <w:i/>
          <w:color w:val="000000"/>
          <w:sz w:val="20"/>
        </w:rPr>
        <w:t>Note 2 - Revenue</w:t>
      </w:r>
      <w:r>
        <w:rPr>
          <w:rFonts w:ascii="Times New Roman;serif" w:hAnsi="Times New Roman;serif"/>
          <w:b w:val="false"/>
          <w:color w:val="000000"/>
          <w:sz w:val="20"/>
        </w:rPr>
        <w:t xml:space="preserv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about net property and equipment in different geographic regions is presented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4018" w:type="dxa"/>
        <w:jc w:val="center"/>
        <w:tblInd w:w="0" w:type="dxa"/>
        <w:tblLayout w:type="fixed"/>
        <w:tblCellMar>
          <w:top w:w="28" w:type="dxa"/>
          <w:left w:w="28" w:type="dxa"/>
          <w:bottom w:w="28" w:type="dxa"/>
          <w:right w:w="28" w:type="dxa"/>
        </w:tblCellMar>
      </w:tblPr>
      <w:tblGrid>
        <w:gridCol w:w="525"/>
        <w:gridCol w:w="462"/>
        <w:gridCol w:w="468"/>
        <w:gridCol w:w="109"/>
        <w:gridCol w:w="196"/>
        <w:gridCol w:w="736"/>
        <w:gridCol w:w="109"/>
        <w:gridCol w:w="109"/>
        <w:gridCol w:w="109"/>
        <w:gridCol w:w="109"/>
        <w:gridCol w:w="196"/>
        <w:gridCol w:w="736"/>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Countries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than the United States and France, no country or region represented greater than 10% of the total net property and equipment as of the dates presented.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customer concentrations as a percentage of revenue and accounts receivable as of and for the periods presented:</w:t>
      </w:r>
    </w:p>
    <w:tbl>
      <w:tblPr>
        <w:tblW w:w="4966" w:type="dxa"/>
        <w:jc w:val="center"/>
        <w:tblInd w:w="0" w:type="dxa"/>
        <w:tblLayout w:type="fixed"/>
        <w:tblCellMar>
          <w:top w:w="28" w:type="dxa"/>
          <w:left w:w="28" w:type="dxa"/>
          <w:bottom w:w="28" w:type="dxa"/>
          <w:right w:w="28" w:type="dxa"/>
        </w:tblCellMar>
      </w:tblPr>
      <w:tblGrid>
        <w:gridCol w:w="358"/>
        <w:gridCol w:w="314"/>
        <w:gridCol w:w="318"/>
        <w:gridCol w:w="180"/>
        <w:gridCol w:w="181"/>
        <w:gridCol w:w="333"/>
        <w:gridCol w:w="134"/>
        <w:gridCol w:w="134"/>
        <w:gridCol w:w="134"/>
        <w:gridCol w:w="202"/>
        <w:gridCol w:w="204"/>
        <w:gridCol w:w="333"/>
        <w:gridCol w:w="109"/>
        <w:gridCol w:w="109"/>
        <w:gridCol w:w="109"/>
        <w:gridCol w:w="180"/>
        <w:gridCol w:w="181"/>
        <w:gridCol w:w="332"/>
        <w:gridCol w:w="126"/>
        <w:gridCol w:w="126"/>
        <w:gridCol w:w="126"/>
        <w:gridCol w:w="180"/>
        <w:gridCol w:w="181"/>
        <w:gridCol w:w="382"/>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tbl>
      <w:tblPr>
        <w:tblW w:w="3591" w:type="dxa"/>
        <w:jc w:val="center"/>
        <w:tblInd w:w="0" w:type="dxa"/>
        <w:tblLayout w:type="fixed"/>
        <w:tblCellMar>
          <w:top w:w="28" w:type="dxa"/>
          <w:left w:w="28" w:type="dxa"/>
          <w:bottom w:w="28" w:type="dxa"/>
          <w:right w:w="28" w:type="dxa"/>
        </w:tblCellMar>
      </w:tblPr>
      <w:tblGrid>
        <w:gridCol w:w="581"/>
        <w:gridCol w:w="511"/>
        <w:gridCol w:w="513"/>
        <w:gridCol w:w="202"/>
        <w:gridCol w:w="204"/>
        <w:gridCol w:w="324"/>
        <w:gridCol w:w="109"/>
        <w:gridCol w:w="109"/>
        <w:gridCol w:w="109"/>
        <w:gridCol w:w="194"/>
        <w:gridCol w:w="194"/>
        <w:gridCol w:w="541"/>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Accounts Receivable</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w:t>
              <w:br/>
              <w:t>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B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customer represented more than 10% of revenue or accounts receivable in the periods presented in the accompanying condensed consolidated financial statements. For each of the three and nine months ended July 3, 2026, our top ten customers represented 60% and 57% of total revenue, respectively. For each of the three and nine months ended July 4, 2025, our top ten customers represented 58% of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18. RELATED-PARTY TRANSACTIONS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July 3, 2026, we sold $1.2 million of commercial products to Empower RF Systems, Inc., a MACOM customer, and an affiliate of one of our directors. During the nine months ended July 3, 2026, we sold $0.1 million of commercial products to Mission Microwave Technologies, LLC (“Mission”), a MACOM customer and an affiliate of Stephen G. Daly, the Company’s President and Chief Executive Officer and Chair of the Board, and director Jihye Whang Rosenband, each of whom has an equity interest of less than 1% in Mission. </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Following the closing of our investment in Investee on May 28, 2026, as described in </w:t>
      </w:r>
      <w:r>
        <w:rPr>
          <w:rFonts w:ascii="Times New Roman;serif" w:hAnsi="Times New Roman;serif"/>
          <w:b w:val="false"/>
          <w:i/>
          <w:color w:val="000000"/>
          <w:sz w:val="20"/>
        </w:rPr>
        <w:t>Note 4 - Investments</w:t>
      </w:r>
      <w:r>
        <w:rPr>
          <w:rFonts w:ascii="Times New Roman;serif" w:hAnsi="Times New Roman;serif"/>
          <w:b w:val="false"/>
          <w:color w:val="000000"/>
          <w:sz w:val="20"/>
        </w:rPr>
        <w:t xml:space="preserve">, we purchased $2.9 million of inventory from Investee during the remainder of the nine months ended July 3, 2026. As of July 3, 2026, $1.6 million was due to Investee.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88"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in conjunction with the condensed consolidated financial statements and the notes thereto included elsewhere in this Quarterly Report on Form 10-Q and our Annual Report on Form 10-K for the fiscal year ended October 3, 2025 filed with the United States Securities and Exchange Commission (“SEC”) on November 14, 2025 (the “2025 Annual Report on Form 10-K”).</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document, the words “Company,” “we,” “our,” “us,” and similar terms refer only to MACOM Technology Solutions Holdings, Inc. and its consolidated subsidiaries, and not any other person or entity.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color w:val="000000"/>
        </w:rPr>
      </w:pPr>
      <w:r>
        <w:rPr>
          <w:color w:val="000000"/>
        </w:rPr>
        <w:t>“</w:t>
      </w:r>
      <w:r>
        <w:rPr>
          <w:rFonts w:ascii="Times New Roman;serif" w:hAnsi="Times New Roman;serif"/>
          <w:b w:val="false"/>
          <w:color w:val="000000"/>
          <w:sz w:val="20"/>
        </w:rPr>
        <w:t>MACOM,” “MACOM Technology Solutions,” and related logos are trademarks of MACOM Technology Solutions Holdings, Inc. All other brands and names listed are trademarks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6"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Item 2, “Management’s Discussion and Analysis of Financial Condition and Results of Operations” and other sections of this Quarterly Report on Form 10-Q contain “forward-looking statements” including statements regarding our business outlook, strategic plans and priorities, expectations, anticipated drivers of future revenue growth, industry trends, our plans for use of our cash and cash equivalents and short-term investments, interest rate and foreign currency risks, our ability to meet working capital requirements, estimates and objectives for future operations, our future results of operations and our financial position, including liquidity, and other matters that do not relate strictly to historical facts. Forward-looking statements generally may be identified by terms such as “anticipates,” “believes,” “could,” “continue,” “estimates,” “expects,” “intends,” “may,” “plans,” “potential,” “predicts,” “projects,” “seeks,” “should,” “targets,” “will,” “would” or similar expressions or variations or the negatives of those terms. Forward-looking statements are neither historical facts nor assurances about future performance. Instead, they are based only on our current beliefs, expectations and assumptions. Because forward-looking statements relate to the future, such statements involve inherent risks, changes and uncertainties that are difficult to predict and many of which are outside of our control. A number of important factors could cause actual results and outcomes to differ materially and adversely from those expressed or implied by our forward-looking statements. Important factors that could cause actual results to differ materially from the forward-looking statements include, among others, the risks described in the section entitled “Item 1A - Risk Factors” in this Quarterly Report on Form 10-Q and our 2025 Annual Report on Form 10-K. We caution the reader to carefully consider such factors. Furthermore, such forward-looking statements speak only as of the date of this Quarterly Report on Form 10-Q. Except as required by law, we undertake no obligation to revise or update our forward-looking statements to reflect any event or circumstance that may arise after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6"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design, develop and manufacture differentiated semiconductor products and solutions for the Industrial and Defense (“I&amp;D”), Data Center and Telecommunications (“Telecom”) industries for customers who demand high performance, quality and reliability. We are headquartered in Lowell, Massachusetts, with operational facilities throughout North America, Europe and Asia. We have more than 70 years of application expertise, combined with expertise in analog and mixed signal circuit design, compound semiconductor fabrication (including GaAs, GaN, indium phosphide (“InP”) and specialized silicon), advanced packaging and back-end assembly and test. We offer a broad portfolio of thousands of standard and custom devices, which include integrated circuits (“ICs”), multi-chip modules (“MCM”), diodes, amplifiers, switches and switch limiters, passive and active components and radio frequency (“RF”) and optical subsystems, which make up dozens of product lines that service over 6,000 end customers in our three primary markets. Our products are electronic components that our customers generally incorporate into larger electronic systems, such as wireless basestations, high-capacity optical networks, data center networks, radar, medical systems, satellite networks and test and measurement applications. Our primary end markets are: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I&amp;D, which includes military and commercial radar, RF jammers, electronic countermeasures, communication data links, space-related electronics and various wired and wireless multi-market applications, which include industrial, medical, test and measurement and scientific applications; (2) Data Center, which includes intra-Data Center, Data Center Interconnect (“DCI”) applications, at 100G, 200G, 400G, 800G, 1.6T, 3.2T and higher speeds, enabled by our broad portfolio of analog ICs and photonic components for high speed connectivity customers; and (3) Telecom, which includes carrier infrastructure such as long-haul/metro, 5G and 6G infrastructure, satellite communications (“SATCOM”) and Fiber-to-the-X (“FTTx”)/passive optical network (“PON”),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Description of Our Revenue</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Our revenue is derived from sales of high-performance RF, microwave, millimeter wave, optical and photonic semiconductor products. We design, integrate, manufacture and package differentiated, semiconductor-based products that we sell to customers through our direct sales organization, our network of independent sales representatives and our distributors.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primary drivers of our future revenue growth will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continued growth in the demand for high-performance analog, digital and optical semiconductors in our three primary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introducing new products using advanced technologies, added features, higher levels of integration and improved performance;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content of our semiconductor solutions in customers’ systems through cross-selling our product 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leveraging our core strength and leadership position in standard, catalog products that service all of our end applications;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engaging early with our lead customers to develop custom and standard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core strategy is to develop and innovate high-performance products that address our customers’ most difficult technical challenges in our primary markets: I&amp;D, Data Center and Telecom.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revenue in the I&amp;D market to be driven by the expanding product portfolio that we offer which services applications such as test and measurement, space-related electronics, civil and military radar, industrial, automotive, scientific and medical applications, further supported by growth in applications for our multi-market catalog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revenue in the Data Center market to be driven by the adoption of higher speed processing technologies and the upgrade of data center architectures to 100G, 200G, 400G, 800G, 1.6T and 3.2T interconnects, which we expect will drive adoption of higher speed optical and photonic components.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revenue in the Telecom market to be driven by 5G deployments, with continued upgrades and expansion of communications equipment, SATCOM networks and increasing adoption of our high-performance RF, millimeter wave, optical and photonic components.</w:t>
      </w:r>
    </w:p>
    <w:p>
      <w:pPr>
        <w:pStyle w:val="TextBody"/>
        <w:bidi w:val="0"/>
        <w:spacing w:lineRule="auto" w:line="288" w:before="120" w:after="283"/>
        <w:jc w:val="both"/>
        <w:rPr/>
      </w:pPr>
      <w:r>
        <w:rPr>
          <w:rFonts w:ascii="Times New Roman;serif" w:hAnsi="Times New Roman;serif"/>
          <w:b/>
          <w:color w:val="000000"/>
          <w:sz w:val="20"/>
        </w:rPr>
        <w:t>Critical Accounting Policies and Estimate</w:t>
      </w:r>
      <w:r>
        <w:rPr>
          <w:rFonts w:ascii="Times New Roman;serif" w:hAnsi="Times New Roman;serif"/>
          <w:b w:val="false"/>
          <w:color w:val="000000"/>
          <w:sz w:val="20"/>
        </w:rPr>
        <w: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are based on our condensed consolidated financial statements. The preparation of financial statements, in conformity with GAAP, requires management to make estimates and judgments that affect the reported amounts of assets and liabilities, the reported amounts of revenue and expenses during the reporting period and disclosure of contingent assets and liabilities at the date of the financial statements. By their nature, these estimates and judgments are subject to an inherent degree of uncertainty and could be material if our actual or expected experience were to change unexpectedly. On an ongoing basis, we re-evaluate our estimates and judgments.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base our estimates and judgments on our historical experience and on other assumptions that we believe are reasonable under the circumstances, the results of which form the basis for making the judgments about the carrying values of assets and liabilities that are not readily apparent from other sources. Actual results could differ from those estimates and material effects on our operating results and financial position may result. The accounting policies which our management believes involve the most significant application of judgment or involve complex estimation, are inventories and associated reserves; revenue reserves; business combinations; goodwill and intangible asset valuation; share-based compensation valuations and income taxes.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estimate our income taxes in each of the jurisdictions in which we operate. This process involves estimating our current tax exposure and assessing temporary differences resulting from differing treatment of items for tax and accounting purposes. These differences result in deferred tax assets and liabilities, which are included within our Consolidated Balance Sheets. We then assess the likelihood that our deferred tax assets will be recovered from future taxable income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relevant jurisdiction. To the extent we believe that recovery is not likely, we must establish a valuation allowance. We provide valuation allowances for certain deferred tax assets where it is more likely than not that any portion will not be realized.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including the July 4, 2025 Bill, as well as court rulings. We recognize potential liabilities for anticipated tax audit matters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our statements of operations data (in thousands):</w:t>
      </w:r>
    </w:p>
    <w:tbl>
      <w:tblPr>
        <w:tblW w:w="7934" w:type="dxa"/>
        <w:jc w:val="center"/>
        <w:tblInd w:w="0" w:type="dxa"/>
        <w:tblLayout w:type="fixed"/>
        <w:tblCellMar>
          <w:top w:w="28" w:type="dxa"/>
          <w:left w:w="28" w:type="dxa"/>
          <w:bottom w:w="28" w:type="dxa"/>
          <w:right w:w="28" w:type="dxa"/>
        </w:tblCellMar>
      </w:tblPr>
      <w:tblGrid>
        <w:gridCol w:w="992"/>
        <w:gridCol w:w="873"/>
        <w:gridCol w:w="87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 xml:space="preserve">(1)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general and administrative </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Includes (a) Amortization expense related to intangible assets arising from acquisitions, purchased software licenses and licensed technology and (b) Share-based compensation expense included in our condensed consolidated statements of operations as set forth below (in thousands):</w:t>
      </w:r>
    </w:p>
    <w:tbl>
      <w:tblPr>
        <w:tblW w:w="7664" w:type="dxa"/>
        <w:jc w:val="left"/>
        <w:tblInd w:w="0" w:type="dxa"/>
        <w:tblLayout w:type="fixed"/>
        <w:tblCellMar>
          <w:top w:w="28" w:type="dxa"/>
          <w:left w:w="28" w:type="dxa"/>
          <w:bottom w:w="28" w:type="dxa"/>
          <w:right w:w="28" w:type="dxa"/>
        </w:tblCellMar>
      </w:tblPr>
      <w:tblGrid>
        <w:gridCol w:w="1059"/>
        <w:gridCol w:w="930"/>
        <w:gridCol w:w="935"/>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Intangible amortization expense: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 Share-based compensation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sets forth, for the periods indicated, our statements of operations data expressed as a percentage of our revenue:</w:t>
      </w:r>
      <w:r>
        <w:rPr>
          <w:color w:val="000000"/>
        </w:rPr>
        <w:t> </w:t>
      </w:r>
    </w:p>
    <w:tbl>
      <w:tblPr>
        <w:tblW w:w="7243" w:type="dxa"/>
        <w:jc w:val="center"/>
        <w:tblInd w:w="0" w:type="dxa"/>
        <w:tblLayout w:type="fixed"/>
        <w:tblCellMar>
          <w:top w:w="28" w:type="dxa"/>
          <w:left w:w="28" w:type="dxa"/>
          <w:bottom w:w="28" w:type="dxa"/>
          <w:right w:w="28" w:type="dxa"/>
        </w:tblCellMar>
      </w:tblPr>
      <w:tblGrid>
        <w:gridCol w:w="922"/>
        <w:gridCol w:w="810"/>
        <w:gridCol w:w="817"/>
        <w:gridCol w:w="278"/>
        <w:gridCol w:w="278"/>
        <w:gridCol w:w="324"/>
        <w:gridCol w:w="137"/>
        <w:gridCol w:w="137"/>
        <w:gridCol w:w="137"/>
        <w:gridCol w:w="278"/>
        <w:gridCol w:w="278"/>
        <w:gridCol w:w="324"/>
        <w:gridCol w:w="109"/>
        <w:gridCol w:w="109"/>
        <w:gridCol w:w="109"/>
        <w:gridCol w:w="278"/>
        <w:gridCol w:w="278"/>
        <w:gridCol w:w="325"/>
        <w:gridCol w:w="128"/>
        <w:gridCol w:w="128"/>
        <w:gridCol w:w="128"/>
        <w:gridCol w:w="278"/>
        <w:gridCol w:w="278"/>
        <w:gridCol w:w="375"/>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Comparison of the Three and Nine Months Ended July 3, 2026 to the Three and Nine Months Ended July 4, 2025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Our revenue increased by $90.2 million, or 35.8%, to $342.2 million for the three months ended July 3, 2026, from $252.1 million for the three months ended July 4, 2025, and our revenue increased by $196.7 million, or 27.9%, to $902.8 million for the nine months ended July 3, 2026, from $706.1 million for the nine months ended July 4, 2025. The increase in revenue in the three and nine months ended July 3, 2026 is described by end market in the following paragraphs.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our primary markets, the percentage of change between the periods presented, and revenue by primary markets expressed as a percentage of total revenue in the periods presented were (in thousands, except percentages):</w:t>
      </w:r>
    </w:p>
    <w:tbl>
      <w:tblPr>
        <w:tblW w:w="9638" w:type="dxa"/>
        <w:jc w:val="center"/>
        <w:tblInd w:w="0" w:type="dxa"/>
        <w:tblLayout w:type="fixed"/>
        <w:tblCellMar>
          <w:top w:w="28" w:type="dxa"/>
          <w:left w:w="28" w:type="dxa"/>
          <w:bottom w:w="28" w:type="dxa"/>
          <w:right w:w="28" w:type="dxa"/>
        </w:tblCellMar>
      </w:tblPr>
      <w:tblGrid>
        <w:gridCol w:w="581"/>
        <w:gridCol w:w="511"/>
        <w:gridCol w:w="512"/>
        <w:gridCol w:w="109"/>
        <w:gridCol w:w="109"/>
        <w:gridCol w:w="109"/>
        <w:gridCol w:w="278"/>
        <w:gridCol w:w="278"/>
        <w:gridCol w:w="375"/>
        <w:gridCol w:w="109"/>
        <w:gridCol w:w="109"/>
        <w:gridCol w:w="109"/>
        <w:gridCol w:w="109"/>
        <w:gridCol w:w="109"/>
        <w:gridCol w:w="109"/>
        <w:gridCol w:w="278"/>
        <w:gridCol w:w="278"/>
        <w:gridCol w:w="375"/>
        <w:gridCol w:w="109"/>
        <w:gridCol w:w="109"/>
        <w:gridCol w:w="109"/>
        <w:gridCol w:w="220"/>
        <w:gridCol w:w="220"/>
        <w:gridCol w:w="221"/>
        <w:gridCol w:w="109"/>
        <w:gridCol w:w="109"/>
        <w:gridCol w:w="109"/>
        <w:gridCol w:w="109"/>
        <w:gridCol w:w="109"/>
        <w:gridCol w:w="109"/>
        <w:gridCol w:w="278"/>
        <w:gridCol w:w="278"/>
        <w:gridCol w:w="375"/>
        <w:gridCol w:w="109"/>
        <w:gridCol w:w="109"/>
        <w:gridCol w:w="109"/>
        <w:gridCol w:w="109"/>
        <w:gridCol w:w="109"/>
        <w:gridCol w:w="109"/>
        <w:gridCol w:w="278"/>
        <w:gridCol w:w="278"/>
        <w:gridCol w:w="375"/>
        <w:gridCol w:w="109"/>
        <w:gridCol w:w="109"/>
        <w:gridCol w:w="109"/>
        <w:gridCol w:w="206"/>
        <w:gridCol w:w="206"/>
        <w:gridCol w:w="29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 &amp; Defense</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50.7%</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27.9%</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 &amp; 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July 3, 2026, our I&amp;D market revenue increased by $25.2 million, or 23.3%, compared to the three months ended July 4, 2025. In the nine months ended July 3, 2026, our I&amp;D market revenue increased by $67.6 million, or 22.2%, compared to the nine months ended July 4, 2025. The increase in the three and nine months ended July 3, 2026 was primarily driven by revenue growth from defense-related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July 3, 2026, our Data Center market revenue increased by $61.8 million, or 81.5%, compared to the three months ended July 4, 2025. In the nine months ended July 3, 2026, our Data Center market revenue increased by $108.2 million, or 50.7%, compared to the nine months ended July 4, 2025. The increase in the three and nine months ended July 3, 2026 was primarily driven by higher sales of optical Data Center products primarily supporting high speed data rates from 100G up to 1.6T.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July 3, 2026, our Telecom market revenue increased by $3.2 million, or 4.7%, compared to the three months ended July 4, 2025. In the nine months ended July 3, 2026, our Telecom market revenue increased by $20.9 million, or 11.1%, compared to the nine months ended July 4, 2025. The increase in the three and nine months ended July 3, 2026 was primarily driven by higher sales of products for broadband access, metro long haul and PON.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areas of our end markets could be negatively affected by any weakening of global economic conditions, including as a result of geopolitical conflicts and related trade restrictions, the evolving impacts from tariffs, sanctions, obtaining required licenses or other trade tensions (including implementation of new tariffs or retaliatory trade measures).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Gross margin was 58.3% and 55.3% for the three months ended July 3, 2026 and July 4, 2025, respectively, and 57.1% and 54.8% for the nine months ended July 3, 2026 and July 4, 2025, respectively. Gross profit increased by $60.1 million, or 43.1%, to $199.6 million, or 58.3% of our revenue, for the three months ended July 3, 2026, compared to $139.4 million, or 55.3% of our revenue, for the three months ended July 4, 2025. Gross profit increased by $129.1 million, or 33.4%, to $515.8 million, or 57.1% of our revenue, for the nine months ended July 3, 2026, compared to $386.7 million, or 54.8% of our revenue, for the nine months ended July 4, 2025. Gross profit increased for the three and nine months ended July 3, 2026 as compared to the three and nine months ended July 4, 2025 primarily as a result of increased sales, inclusive of sales of higher margin products, partially offset by increases in employee-related costs, primarily due to additional headcount from the RTP Fab, higher maintenance expense and increases in production supplies.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 increased by $10.9 million, or 17.2%, to $74.3 million, or 21.7% of our revenue, for the three months ended July 3, 2026, compared to $63.4 million, or 25.1% of our revenue, for the three months ended July 4, 2025. Research and development expense increased $28.2 million, or 15.5%, to $209.7 million, or 23.2% of our revenue, for the nine months ended July 3, 2026, compared to $181.6 million, or 25.7% of our revenue, for the nine months ended July 4, 2025. Research and development expense increased in the three months ended July 3, 2026 primarily due to increases in employee-related costs, including increases in headcount, higher R&amp;D-related material costs and development foundry costs. Research and development expense increased in the nine months ended July 3, 2026 primarily due to employee-related costs, including increases in headcount, higher R&amp;D-related material costs and depreciation expense.</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Selling, general and administrative expense increased by $9.7 million, or 25.4%, to $48.1 million, or 14.1% of our revenue, in the three months ended July 3, 2026, compared to $38.4 million, or 15.2% of our revenue, for the three months ended July 4, 2025. Selling, general and administrative expense increased by $19.7 million, or 17.1%, to $134.8 million, or 14.9% of our revenue, in the nine months ended July 3, 2026, compared to $115.1 million, or 16.3% of our revenue, for the nine months ended July 4, 2025. Selling, general and administrative expense increased in the three months ended July 3, 2026 primarily due to increases in employee-related costs, share-based compensation expense and professional fees. Selling, general and administrative expense increased in the nine months ended July 3, 2026 primarily due to increases in employee-related costs, share-based compensation expense, professional fees, software costs and variable selling costs.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In the three months ended July 3, 2026, interest income was $6.7 million, compared to $7.6 million for the three months ended July 4, 2025. In the nine months ended July 3, 2026, interest income was $22.4 million, compared to $21.8 million for the nine months ended July 4, 2025. The decrease for the three months ended July 3, 2026 is primarily due to the decrease in our short-term investments balance. The increase for the nine months ended July 3, 2026 is primarily due to the interest income earned from the higher cash and cash equivalents and short-term investments balance prior to the settlement of the 2026 Convertible Notes.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Gain on investment fair value. </w:t>
      </w:r>
      <w:r>
        <w:rPr>
          <w:rFonts w:ascii="Times New Roman;serif" w:hAnsi="Times New Roman;serif"/>
          <w:b w:val="false"/>
          <w:color w:val="000000"/>
          <w:sz w:val="20"/>
        </w:rPr>
        <w:t xml:space="preserve">In the three and nine months ended July 3, 2026, we recorded a gain on investment fair value of $41.5 million, related to changes in the fair value of Long-Term Investments. For additional information, see </w:t>
      </w:r>
      <w:r>
        <w:rPr>
          <w:rFonts w:ascii="Times New Roman;serif" w:hAnsi="Times New Roman;serif"/>
          <w:b w:val="false"/>
          <w:i/>
          <w:color w:val="000000"/>
          <w:sz w:val="20"/>
        </w:rPr>
        <w:t>Note 4 - Investments</w:t>
      </w:r>
      <w:r>
        <w:rPr>
          <w:color w:val="000000"/>
        </w:rPr>
        <w:t xml:space="preserve"> </w:t>
      </w:r>
      <w:r>
        <w:rPr>
          <w:rFonts w:ascii="Times New Roman;serif" w:hAnsi="Times New Roman;serif"/>
          <w:b w:val="false"/>
          <w:color w:val="000000"/>
          <w:sz w:val="20"/>
        </w:rPr>
        <w:t>to our condensed consolidated financial statements in this Quarterly Report on Form 10-Q.</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 xml:space="preserve">Provision for income taxes. </w:t>
      </w:r>
      <w:r>
        <w:rPr>
          <w:rFonts w:ascii="Times New Roman;serif" w:hAnsi="Times New Roman;serif"/>
          <w:b w:val="false"/>
          <w:color w:val="000000"/>
          <w:sz w:val="20"/>
          <w:shd w:fill="FFFFFF" w:val="clear"/>
        </w:rPr>
        <w:t>Our income tax expense and effective income tax rates for the periods indicated were (in thousands, except percentages):</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7597" w:type="dxa"/>
        <w:jc w:val="center"/>
        <w:tblInd w:w="0" w:type="dxa"/>
        <w:tblLayout w:type="fixed"/>
        <w:tblCellMar>
          <w:top w:w="28" w:type="dxa"/>
          <w:left w:w="28" w:type="dxa"/>
          <w:bottom w:w="28" w:type="dxa"/>
          <w:right w:w="28" w:type="dxa"/>
        </w:tblCellMar>
      </w:tblPr>
      <w:tblGrid>
        <w:gridCol w:w="781"/>
        <w:gridCol w:w="688"/>
        <w:gridCol w:w="691"/>
        <w:gridCol w:w="196"/>
        <w:gridCol w:w="646"/>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25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estimated annual effective tax rate for the fiscal year ending October 2, 2026 is expected to be approximately 18.5%, which reflects the statutory rate adjusted for expected tax credits, primarily for R&amp;D. This effective tax rate does not reflect the adjustment for any discrete tax matters arising during the year, such as the excess deduction related to share-based compensation. The actual effective income tax rate for the fiscal quarter ended July 3, 2026 was reduced by excess tax benefits related to share-based compensation.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fiscal quarter ended July 4, 2025 was impacted by the non-deductibility of the charge for extinguishment of debt as well as excess tax benefits related to share-based compensation.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additional information refer to </w:t>
      </w:r>
      <w:r>
        <w:rPr>
          <w:rFonts w:ascii="Times New Roman;serif" w:hAnsi="Times New Roman;serif"/>
          <w:b w:val="false"/>
          <w:i/>
          <w:color w:val="000000"/>
          <w:sz w:val="20"/>
        </w:rPr>
        <w:t>Note 15 - Income Taxes</w:t>
      </w:r>
      <w:r>
        <w:rPr>
          <w:color w:val="000000"/>
        </w:rPr>
        <w:t xml:space="preserve"> </w:t>
      </w:r>
      <w:r>
        <w:rPr>
          <w:rFonts w:ascii="Times New Roman;serif" w:hAnsi="Times New Roman;serif"/>
          <w:b w:val="false"/>
          <w:color w:val="000000"/>
          <w:sz w:val="20"/>
        </w:rPr>
        <w:t>to our condensed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activities (in thousands):</w:t>
      </w:r>
    </w:p>
    <w:tbl>
      <w:tblPr>
        <w:tblW w:w="6456" w:type="dxa"/>
        <w:jc w:val="center"/>
        <w:tblInd w:w="0" w:type="dxa"/>
        <w:tblLayout w:type="fixed"/>
        <w:tblCellMar>
          <w:top w:w="28" w:type="dxa"/>
          <w:left w:w="28" w:type="dxa"/>
          <w:bottom w:w="28" w:type="dxa"/>
          <w:right w:w="28" w:type="dxa"/>
        </w:tblCellMar>
      </w:tblPr>
      <w:tblGrid>
        <w:gridCol w:w="1331"/>
        <w:gridCol w:w="1170"/>
        <w:gridCol w:w="1174"/>
        <w:gridCol w:w="109"/>
        <w:gridCol w:w="109"/>
        <w:gridCol w:w="109"/>
        <w:gridCol w:w="196"/>
        <w:gridCol w:w="736"/>
        <w:gridCol w:w="109"/>
        <w:gridCol w:w="109"/>
        <w:gridCol w:w="109"/>
        <w:gridCol w:w="109"/>
        <w:gridCol w:w="196"/>
        <w:gridCol w:w="73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 from operating activities for the nine months ended July 3, 2026 of $201.6 million consisted of net income of $195.8 million, adjusted for non-cash charges of $95.3 million, primarily related to share-based compensation expense of $65.9 million and depreciation and intangible asset amortization expense of $46.7 million, partially offset by a net increase in working capital of $89.6 million. The net increase in working capital of $89.6 million was primarily driven by an increase in inventories of $43.8 million, an increase in accounts receivables of $30.5 million, an increase in prepaid expenses and other assets of $6.7 million and a decrease in accrued and other liabilities of $10.1 million.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from operating activities for the nine months ended July 4, 2025 of $165.7 million consisted of a net loss of $99.3 million plus adjustments of $299.3 million, to reconcile our net loss to cash provided by operating activities, less cash used in operating assets and liabilities of $34.3 million. Adjustments to reconcile our net loss to cash provided by operating activities primarily included loss on extinguishment of debt of $193.1 million, share-based compensation expense of $61.6 million and depreciation and intangible amortization expense of $45.6 million. In addition, cash used in operating assets and liabilities was $34.3 million for the nine months ended July 4, 2025, primarily driven by an increase in accounts receivables of $22.8 million and an increase in inventories of $20.6 million, partially offset by an increase in accounts payable of $16.5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used in investing activities for the nine months ended July 3, 2026 of $16.4 million consisted primarily of proceeds of $208.2 million for the sale and maturity of short-term investments, offset by purchases of $110.8 million of short-term investments, purchases of long-term investments of $60.6 million, capital expenditures of $46.9 million and purchases of software licenses and licensed technology of $8.9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 used in investing activities for the nine months ended July 4, 2025 of $246.1 million consisted primarily of purchases of $450.9 million of short-term investments, purchase of property under financing arrangement of $28.8 million, capital expenditures of $22.3 million, cash paid for acquisitions, net of cash acquired of $12.7 million and other investing activities of $11.0 million, offset by proceeds of $279.6 million for the sale and maturity of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3, 2026, our cash used in financing activities of $207.5 million was primarily related to repayment of the 2026 Convertible Notes of $161.2 million and $55.6 million of common stock withheld associated with employee taxes on vested equity awards, partially offset by $11.5 million of proceeds from employee stock 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4, 2025, our cash provided by financing activities of $58.8 million was primarily related to $86.6 million of proceeds from convertible notes, $28.8 million of proceeds from financing arrangement and $10.2 million of proceeds from stock option exercises and employee stock purchases, partially offset by $42.7 million of common stock withheld associated with employee taxes on vested equity awards and $23.2 million of fees for the convertible note exchange and payments for debt issuance costs.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 2026, we held $89.6 million of cash and cash equivalents, primarily deposited with financial institutions, as well as $573.4 million of liquid short-term investments. The undistributed earnings of certain foreign subsidiaries are considered indefinitely reinvested for the periods presented and we do not intend to repatriate such earnings. We believe the decision to reinvest these earnings will not have a significant impact on our liquidity. As of July 3, 2026, cash held by our indefinitely reinvested foreign subsidiaries was $6.9 million, which, along with cash generated from foreign operations, is expected to be used in the support of international growth and working capital requirements as well as the repayment of certain intercompany loans.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During the fiscal quarter ended July 3, 2026, the Stock Price Trigger (as defined in </w:t>
      </w:r>
      <w:r>
        <w:rPr>
          <w:rFonts w:ascii="Times New Roman;serif" w:hAnsi="Times New Roman;serif"/>
          <w:b w:val="false"/>
          <w:i/>
          <w:color w:val="000000"/>
          <w:sz w:val="20"/>
        </w:rPr>
        <w:t>Note 10 - Debt</w:t>
      </w:r>
      <w:r>
        <w:rPr>
          <w:rFonts w:ascii="Times New Roman;serif" w:hAnsi="Times New Roman;serif"/>
          <w:b w:val="false"/>
          <w:color w:val="000000"/>
          <w:sz w:val="20"/>
        </w:rPr>
        <w:t xml:space="preserve">) was satisfied. As a result, holders of our 2029 Convertible Notes may convert their notes at their option at any time during the fiscal quarter ending October 2, 2026 in multiples of $1,000 principal amount. For additional information on the 2029 Convertible Notes, see </w:t>
      </w:r>
      <w:r>
        <w:rPr>
          <w:rFonts w:ascii="Times New Roman;serif" w:hAnsi="Times New Roman;serif"/>
          <w:b w:val="false"/>
          <w:i/>
          <w:color w:val="000000"/>
          <w:sz w:val="20"/>
        </w:rPr>
        <w:t>Note 10 - Debt</w:t>
      </w:r>
      <w:r>
        <w:rPr>
          <w:color w:val="000000"/>
        </w:rPr>
        <w:t xml:space="preserve"> </w:t>
      </w:r>
      <w:r>
        <w:rPr>
          <w:rFonts w:ascii="Times New Roman;serif" w:hAnsi="Times New Roman;serif"/>
          <w:b w:val="false"/>
          <w:color w:val="000000"/>
          <w:sz w:val="20"/>
        </w:rPr>
        <w:t xml:space="preserve">to our condensed consolidated financial statements in this Quarterly Report on Form 10-Q.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14, 2025, we announced the execution of a preliminary, non-binding agreement with the CHIPS Program Office (“CPO”), which could provide for proposed direct funding from the U.S. Department of Commerce under the CHIPS Act of up to $70 million. The potential direct funding arrangement and the associated definitive agreement remain under discussion with the CPO.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We plan to use our remaining available cash and cash equivalents and short-term investments for general corporate purposes, including working capital, payment on the</w:t>
      </w:r>
      <w:r>
        <w:rPr>
          <w:color w:val="000000"/>
          <w:shd w:fill="FFFFFF" w:val="clear"/>
        </w:rPr>
        <w:t xml:space="preserve"> </w:t>
      </w:r>
      <w:r>
        <w:rPr>
          <w:rFonts w:ascii="Times New Roman;serif" w:hAnsi="Times New Roman;serif"/>
          <w:b w:val="false"/>
          <w:color w:val="000000"/>
          <w:sz w:val="20"/>
          <w:shd w:fill="FFFFFF" w:val="clear"/>
        </w:rPr>
        <w:t>2029 Convertible Notes, or for the acq</w:t>
      </w:r>
      <w:r>
        <w:rPr>
          <w:rFonts w:ascii="Times New Roman;serif" w:hAnsi="Times New Roman;serif"/>
          <w:b w:val="false"/>
          <w:color w:val="000000"/>
          <w:sz w:val="20"/>
        </w:rPr>
        <w:t>uisition of or investment in complementary technologies, design teams, products and businesses. We believe that our cash and cash equivalents, short-term investments and cash generated from operations will be sufficient to meet our working capital requirements for at least the next twelve months. We may need to raise additional capital from time to time through the issuance and sale of equity or debt securities, and there is no assurance that we will be able to do so on favorable terms or at all.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 2026, we had no off-balance sheet arrangements.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For additional information related to our Liquidity and Capital Resources, see </w:t>
      </w:r>
      <w:r>
        <w:rPr>
          <w:rFonts w:ascii="Times New Roman;serif" w:hAnsi="Times New Roman;serif"/>
          <w:b w:val="false"/>
          <w:i/>
          <w:color w:val="000000"/>
          <w:sz w:val="20"/>
        </w:rPr>
        <w:t>Note 10 - Debt</w:t>
      </w:r>
      <w:r>
        <w:rPr>
          <w:color w:val="000000"/>
        </w:rPr>
        <w:t xml:space="preserve"> </w:t>
      </w:r>
      <w:r>
        <w:rPr>
          <w:rFonts w:ascii="Times New Roman;serif" w:hAnsi="Times New Roman;serif"/>
          <w:b w:val="false"/>
          <w:color w:val="000000"/>
          <w:sz w:val="20"/>
        </w:rPr>
        <w:t>to our condensed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1 - Basis of Presentation and Summary of Significant Accounting Policies</w:t>
      </w:r>
      <w:r>
        <w:rPr>
          <w:color w:val="000000"/>
        </w:rPr>
        <w:t xml:space="preserve"> </w:t>
      </w:r>
      <w:r>
        <w:rPr>
          <w:rFonts w:ascii="Times New Roman;serif" w:hAnsi="Times New Roman;serif"/>
          <w:b w:val="false"/>
          <w:color w:val="000000"/>
          <w:sz w:val="20"/>
        </w:rPr>
        <w:t>to our condensed consolidated financial statements in this Quarterly Report on Form 10-Q for information about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the ordinary course of business, which consists primarily of interest rate risk associated with our cash and cash equivalents and short-term investments, as well as foreign exchange rate risk.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Interest rate risk.</w:t>
      </w:r>
      <w:r>
        <w:rPr>
          <w:color w:val="000000"/>
        </w:rPr>
        <w:t xml:space="preserve"> </w:t>
      </w:r>
      <w:r>
        <w:rPr>
          <w:rFonts w:ascii="Times New Roman;serif" w:hAnsi="Times New Roman;serif"/>
          <w:b w:val="false"/>
          <w:color w:val="000000"/>
          <w:sz w:val="20"/>
        </w:rPr>
        <w:t>The primary objectives of our investment activity are to preserve principal, provide liquidity and invest excess cash for an average rate of return. To minimize market risk, we maintain our portfolio in cash and diversified investments, which may consist of corporate bonds, bank deposits, money market funds, commercial paper and U.S. Treasury securities. The interest rates are variable and fluctuate with current market conditions. The risk associated with fluctuating interest rates is limited to this investment portfolio. We believe that a 1% change in interest rates would have a $6.6 million impact on our annual interest income, based on cash and cash equivalents and short-term investments balances as of July 3, 2026. We believe that a change in interest rates would not have a material impact on our results of operations, however, such change(s) could impact net income and earnings per share. We do not enter into financial instruments for trading or speculative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Foreign currency risk.</w:t>
      </w:r>
      <w:r>
        <w:rPr>
          <w:color w:val="000000"/>
        </w:rPr>
        <w:t xml:space="preserve"> </w:t>
      </w:r>
      <w:r>
        <w:rPr>
          <w:rFonts w:ascii="Times New Roman;serif" w:hAnsi="Times New Roman;serif"/>
          <w:b w:val="false"/>
          <w:color w:val="000000"/>
          <w:sz w:val="20"/>
        </w:rPr>
        <w:t>To date, our international customer agreements have been denominated primarily in U.S. dollars. Accordingly, we have limited exposure to foreign currency exchange rates. The functional currency of a majority of our foreign operations continues to be in U.S. dollars with the remaining operations being local currency. Changes in the value of the U.S. dollar relative to other currencies could make our products more expensive, which could negatively impact demand in certain regions, reduce or delay customer orders, or otherwise negatively affect how customers do business with us. The effects of exchange rate fluctuations on the net assets of the majority of our operations are accounted for as transaction gains or losses. We believe that a change of 10% in such foreign currency exchange rates would not have a material impact on our financial position or results of operations.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have entered into foreign currency exchange hedging contracts to reduce the impact of foreign currency changes on certain intercompany foreign currency denominated debt. These foreign currency forward contracts are entered into for periods consistent with currency transaction exposures, generally one month. They are not designated as cash flow or fair value hedges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These forward contracts are marked-to-market with changes in fair value recorded to earnings. As of July 3, 2026, we had $58.5 million in notional forward foreign currency contracts, which were denominated in Euro and Yen. The fair value of these forward contracts is immaterial as of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we carried out an evaluation of the effectiveness of the design and operation of our disclosure controls and procedures (as defined in Rule 13a-15(e) under the Securities Exchange Act of 1934, as amended (the “Exchange Act”)). Based on this evaluation, our Chief Executive Officer and Chief Financial Officer concluded that our disclosure controls and procedures (as defined in Exchange Act Rules 13a-15(e) and 15d-15(e)) were effective as of July 3, 2026.</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Rules 13a-15(f) and 15d-15(f) of the Exchange Act) that occurred during our most recent fiscal quarter that have materially affected, or are reasonably likely to materially affect, our internal control over financial reporting.</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Limitations on Controls</w:t>
      </w:r>
    </w:p>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13 - Commitments and Contingencies</w:t>
      </w:r>
      <w:r>
        <w:rPr>
          <w:color w:val="000000"/>
        </w:rPr>
        <w:t xml:space="preserve"> </w:t>
      </w:r>
      <w:r>
        <w:rPr>
          <w:rFonts w:ascii="Times New Roman;serif" w:hAnsi="Times New Roman;serif"/>
          <w:b w:val="false"/>
          <w:color w:val="000000"/>
          <w:sz w:val="20"/>
        </w:rPr>
        <w:t>to our condensed consolidated financial statements in this Quarterly Report on Form 10-Q for information about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involves a high degree of risk. In addition to the other information set forth in this Quarterly Report on Form 10-Q, you should carefully consider the factors discussed in Part I, “Item 1A. Risk Factors” in our 2025 Annual Report on Form 10-K, which could materially affect our business, financial condition or future results. As of the date of this Quarterly Report on Form 10-Q, there have been no material changes in any of the risk factors described in our 2025 Annual Report on Form 10-K, except as discussed in Part II, “Item 1A. Risk Factors” in our Quarterly Report on Form 10-Q for the fiscal quarters ended January 2, 2026 and April 3, 2026, as filed with the SEC on February 5, 2026 and May 7,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purchases of common stock we made during the fiscal quarter ended July 3, 2026. </w:t>
      </w:r>
    </w:p>
    <w:tbl>
      <w:tblPr>
        <w:tblW w:w="10205" w:type="dxa"/>
        <w:jc w:val="center"/>
        <w:tblInd w:w="0" w:type="dxa"/>
        <w:tblLayout w:type="fixed"/>
        <w:tblCellMar>
          <w:top w:w="28" w:type="dxa"/>
          <w:left w:w="28" w:type="dxa"/>
          <w:bottom w:w="28" w:type="dxa"/>
          <w:right w:w="28" w:type="dxa"/>
        </w:tblCellMar>
      </w:tblPr>
      <w:tblGrid>
        <w:gridCol w:w="341"/>
        <w:gridCol w:w="300"/>
        <w:gridCol w:w="303"/>
        <w:gridCol w:w="592"/>
        <w:gridCol w:w="449"/>
        <w:gridCol w:w="451"/>
        <w:gridCol w:w="109"/>
        <w:gridCol w:w="109"/>
        <w:gridCol w:w="109"/>
        <w:gridCol w:w="291"/>
        <w:gridCol w:w="959"/>
        <w:gridCol w:w="161"/>
        <w:gridCol w:w="109"/>
        <w:gridCol w:w="109"/>
        <w:gridCol w:w="109"/>
        <w:gridCol w:w="775"/>
        <w:gridCol w:w="775"/>
        <w:gridCol w:w="777"/>
        <w:gridCol w:w="109"/>
        <w:gridCol w:w="109"/>
        <w:gridCol w:w="109"/>
        <w:gridCol w:w="890"/>
        <w:gridCol w:w="890"/>
        <w:gridCol w:w="1270"/>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4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(or Units)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Yet Be Purchased Under the Plans or Programs</w:t>
            </w:r>
          </w:p>
        </w:tc>
      </w:tr>
      <w:tr>
        <w:trPr/>
        <w:tc>
          <w:tcPr>
            <w:tcW w:w="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4, 2026-May 1, 2026</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 2026-May 29, 2026</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30, 2026-July 3, 2026</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11,123 </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We employ “withhold to cover” as a tax payment method for vesting of restricted stock awards for our employees, pursuant to which, we withheld from employees the shares noted in the table above to cover tax withholding related to the vesting of their awards. The average prices listed in the above table are averages of the fair market prices at which we valued shares withheld for purposes of calculating the number of shares to be withheld.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actions by our directors and Section 16 officers with respect to plans intended to satisfy the affirmative defense conditions of Rule 10b5-1(c) during the three months ended July 3, 2026. None of our directors or Section 16 officers terminated a Rule 10b5-1 trading arrangement or took actions with respect to a “non-Rule 10b5-1 trading arrangement,” as such term is defined in Item 408(c) of Regulation S-K, during the three months ended July 3, 2026.</w:t>
      </w:r>
    </w:p>
    <w:tbl>
      <w:tblPr>
        <w:tblW w:w="10205" w:type="dxa"/>
        <w:jc w:val="left"/>
        <w:tblInd w:w="0" w:type="dxa"/>
        <w:tblLayout w:type="fixed"/>
        <w:tblCellMar>
          <w:top w:w="28" w:type="dxa"/>
          <w:left w:w="28" w:type="dxa"/>
          <w:bottom w:w="28" w:type="dxa"/>
          <w:right w:w="28" w:type="dxa"/>
        </w:tblCellMar>
      </w:tblPr>
      <w:tblGrid>
        <w:gridCol w:w="1206"/>
        <w:gridCol w:w="1012"/>
        <w:gridCol w:w="977"/>
        <w:gridCol w:w="109"/>
        <w:gridCol w:w="109"/>
        <w:gridCol w:w="109"/>
        <w:gridCol w:w="294"/>
        <w:gridCol w:w="294"/>
        <w:gridCol w:w="298"/>
        <w:gridCol w:w="109"/>
        <w:gridCol w:w="109"/>
        <w:gridCol w:w="109"/>
        <w:gridCol w:w="316"/>
        <w:gridCol w:w="316"/>
        <w:gridCol w:w="324"/>
        <w:gridCol w:w="109"/>
        <w:gridCol w:w="109"/>
        <w:gridCol w:w="109"/>
        <w:gridCol w:w="489"/>
        <w:gridCol w:w="484"/>
        <w:gridCol w:w="485"/>
        <w:gridCol w:w="109"/>
        <w:gridCol w:w="109"/>
        <w:gridCol w:w="109"/>
        <w:gridCol w:w="702"/>
        <w:gridCol w:w="702"/>
        <w:gridCol w:w="998"/>
      </w:tblGrid>
      <w:tr>
        <w:trPr/>
        <w:tc>
          <w:tcPr>
            <w:tcW w:w="12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of Plan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Potential Number of Shares to be Sold (2)</w:t>
            </w:r>
          </w:p>
        </w:tc>
      </w:tr>
      <w:tr>
        <w:trPr/>
        <w:tc>
          <w:tcPr>
            <w:tcW w:w="3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Dennehy</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10,059 shares</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Ambra Roth</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General Counsel and Secretary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Sale of up to 17,824 shares</w:t>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Date of plan termination or such earlier date upon which all transactions are completed or expire without execution.</w:t>
      </w:r>
    </w:p>
    <w:p>
      <w:pPr>
        <w:pStyle w:val="TextBody"/>
        <w:bidi w:val="0"/>
        <w:spacing w:lineRule="auto" w:line="288" w:before="1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Represents the gross number of shares subject to the Rule 10b5-1 plan, excluding the potential effect of shares withheld for taxes. Amounts may include shares to be earned as PRSUs and are presented at their target amounts. The actual number of PRSUs earned following the end of the applicable performance period, if any, will depend on the relative achievement of the applicable performance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2830"/>
        <w:gridCol w:w="2732"/>
        <w:gridCol w:w="387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Fifth Amended and Restated Certificate of Incorporation, as amended by the Certificate of Amendment dated March 2, 2023 and as further amended by the Certificate of Amendment dated March 11, 2024 (incorporated by reference to Exhibit 3.1 to our Quarterly Report on Form 10-Q filed on May 2, 2024).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Fourth Amended and Restated Bylaws (incorporated by reference to Exhibit 3.1 to our Current Report on Form 8-K filed on January 6, 2023).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si_2026xq3xexhibit311.htm">
              <w:r>
                <w:rPr>
                  <w:rStyle w:val="InternetLink"/>
                  <w:rFonts w:ascii="Times New Roman;serif" w:hAnsi="Times New Roman;serif"/>
                  <w:b w:val="false"/>
                  <w:color w:val="0000FF"/>
                  <w:sz w:val="20"/>
                  <w:u w:val="single"/>
                </w:rPr>
                <w:t>Certification of Principal Executive Officer Required Under Rule 13a-14(a) and 15d-14(a) of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si_2026xq3xexhibit312.htm">
              <w:r>
                <w:rPr>
                  <w:rStyle w:val="InternetLink"/>
                  <w:rFonts w:ascii="Times New Roman;serif" w:hAnsi="Times New Roman;serif"/>
                  <w:b w:val="false"/>
                  <w:color w:val="0000FF"/>
                  <w:sz w:val="20"/>
                  <w:u w:val="single"/>
                </w:rPr>
                <w:t>Certification of Principal Financial Officer Required Under Rule 13a-14(a) and 15d-14(a) of the Securities Exchange Act of 1934, as amended.</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tsi_2026xq3xexhibit321.htm">
              <w:r>
                <w:rPr>
                  <w:rStyle w:val="InternetLink"/>
                  <w:rFonts w:ascii="Times New Roman;serif" w:hAnsi="Times New Roman;serif"/>
                  <w:b w:val="false"/>
                  <w:color w:val="0000FF"/>
                  <w:sz w:val="20"/>
                  <w:u w:val="single"/>
                </w:rPr>
                <w:t>Certification of Principal Executive Officer and Principal Financial Officer Required Under Rule 13a-14(b) of the Securities Exchange Act of 1934, as amended, and 18 U.S.C. §1350.</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 from the Quarterly Report on Form 10-Q of MACOM Technology Solutions Holdings, Inc. for the fiscal quarter ended July 3, 2026, formatted in Inline XBRL: (i) Consolidated Balance Sheets, (ii) Consolidated Statements of Operations, (iii) Consolidated Statements of Comprehensive Income (Loss), (iv) Consolidated Statements of Stockholders’ Equity, (v) Consolidated Statements of Cash Flows, (vi) Notes to Consolidated Financial Statements and (vii) document and entity information, tagged as blocks of text and including detailed tags.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for the Quarterly Report on Form 10-Q of MACOM Technology Solutions Holdings, Inc. for the fiscal quarter ended July 3, 2026, formatted in Inline XBRL and included as Exhibit 101.</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4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on Form 10-Q to be signed on its behalf by the undersigned thereunto duly authorized.</w:t>
      </w:r>
    </w:p>
    <w:tbl>
      <w:tblPr>
        <w:tblW w:w="9527" w:type="dxa"/>
        <w:jc w:val="left"/>
        <w:tblInd w:w="0" w:type="dxa"/>
        <w:tblLayout w:type="fixed"/>
        <w:tblCellMar>
          <w:top w:w="28" w:type="dxa"/>
          <w:left w:w="28" w:type="dxa"/>
          <w:bottom w:w="28" w:type="dxa"/>
          <w:right w:w="28" w:type="dxa"/>
        </w:tblCellMar>
      </w:tblPr>
      <w:tblGrid>
        <w:gridCol w:w="705"/>
        <w:gridCol w:w="619"/>
        <w:gridCol w:w="625"/>
        <w:gridCol w:w="796"/>
        <w:gridCol w:w="796"/>
        <w:gridCol w:w="796"/>
        <w:gridCol w:w="1516"/>
        <w:gridCol w:w="1516"/>
        <w:gridCol w:w="215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MACOM TECHNOLOGY SOLUTIONS HOLDINGS,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Daly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Daly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 and Chair of the Board</w:t>
              <w:b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Kober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Kober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br/>
              <w:t>(Principal Accounting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PRESIDENT AND CEO PURSUANT TO SECTION 302 OF THE SARBANES-OXLEY ACT OF 2002</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Stephen G. Daly, certify that: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MACOM Technology Solutions Holdings,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179"/>
        <w:gridCol w:w="157"/>
        <w:gridCol w:w="159"/>
        <w:gridCol w:w="1317"/>
        <w:gridCol w:w="1317"/>
        <w:gridCol w:w="1865"/>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Stephen G. Daly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Stephen G. Daly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 and Chair of the Board</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CERTIFICATION OF THE CFO PURSUANT TO SECTION 302 OF THE SARBANES-OXLEY ACT OF 2002</w:t>
      </w:r>
    </w:p>
    <w:p>
      <w:pPr>
        <w:pStyle w:val="TextBody"/>
        <w:bidi w:val="0"/>
        <w:spacing w:before="120" w:after="283"/>
        <w:jc w:val="center"/>
        <w:rPr/>
      </w:pPr>
      <w:r>
        <w:rPr/>
      </w:r>
    </w:p>
    <w:p>
      <w:pPr>
        <w:pStyle w:val="TextBody"/>
        <w:bidi w:val="0"/>
        <w:spacing w:lineRule="auto" w:line="288" w:before="120" w:after="283"/>
        <w:jc w:val="left"/>
        <w:rPr/>
      </w:pPr>
      <w:r>
        <w:rPr>
          <w:rFonts w:ascii="Times New Roman;serif" w:hAnsi="Times New Roman;serif"/>
          <w:b w:val="false"/>
          <w:color w:val="000000"/>
          <w:sz w:val="18"/>
        </w:rPr>
        <w:t xml:space="preserve">I, </w:t>
      </w:r>
      <w:r>
        <w:rPr>
          <w:rFonts w:ascii="Times New Roman;serif" w:hAnsi="Times New Roman;serif"/>
          <w:b w:val="false"/>
          <w:color w:val="000000"/>
          <w:sz w:val="20"/>
        </w:rPr>
        <w:t>John F. Kober</w:t>
      </w:r>
      <w:r>
        <w:rPr>
          <w:rFonts w:ascii="Times New Roman;serif" w:hAnsi="Times New Roman;serif"/>
          <w:b w:val="false"/>
          <w:color w:val="000000"/>
          <w:sz w:val="18"/>
        </w:rPr>
        <w:t>, certify that: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MACOM Technology Solutions Holdings,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tbl>
      <w:tblPr>
        <w:tblW w:w="2969" w:type="dxa"/>
        <w:jc w:val="left"/>
        <w:tblInd w:w="0" w:type="dxa"/>
        <w:tblLayout w:type="fixed"/>
        <w:tblCellMar>
          <w:top w:w="28" w:type="dxa"/>
          <w:left w:w="28" w:type="dxa"/>
          <w:bottom w:w="28" w:type="dxa"/>
          <w:right w:w="28" w:type="dxa"/>
        </w:tblCellMar>
      </w:tblPr>
      <w:tblGrid>
        <w:gridCol w:w="179"/>
        <w:gridCol w:w="157"/>
        <w:gridCol w:w="159"/>
        <w:gridCol w:w="724"/>
        <w:gridCol w:w="724"/>
        <w:gridCol w:w="1026"/>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8"/>
              </w:rPr>
            </w:pPr>
            <w:r>
              <w:rPr>
                <w:rFonts w:ascii="Times New Roman;serif" w:hAnsi="Times New Roman;serif"/>
                <w:b w:val="false"/>
                <w:color w:val="000000"/>
                <w:sz w:val="18"/>
              </w:rPr>
              <w:t>Date:</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John F. Kober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F. Kober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SVP and 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In connection with the Quarterly Report of MACOM Technology Solutions Holdings, Inc. (the “Company”) on Form 10-Q for the quarter ended July 3, 2026 as filed with the Securities and Exchange Commission on the date hereof (the “Report”), Stephen G. Daly, as President and Chief Executive Officer and Chair of the Board of the Company, and John F. Kober, as SVP and Chief Financial Officer of the Company, each hereby certifies, pursuant to and solely for the purpose of 18 U.S.C. Section 1350, as adopted pursuant to Section 906 of the Sarbanes-Oxley Act of 2002, that:</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for the period covered by the Report.</w:t>
      </w:r>
    </w:p>
    <w:tbl>
      <w:tblPr>
        <w:tblW w:w="5655" w:type="dxa"/>
        <w:jc w:val="left"/>
        <w:tblInd w:w="0" w:type="dxa"/>
        <w:tblLayout w:type="fixed"/>
        <w:tblCellMar>
          <w:top w:w="28" w:type="dxa"/>
          <w:left w:w="28" w:type="dxa"/>
          <w:bottom w:w="28" w:type="dxa"/>
          <w:right w:w="28" w:type="dxa"/>
        </w:tblCellMar>
      </w:tblPr>
      <w:tblGrid>
        <w:gridCol w:w="200"/>
        <w:gridCol w:w="177"/>
        <w:gridCol w:w="178"/>
        <w:gridCol w:w="1489"/>
        <w:gridCol w:w="1489"/>
        <w:gridCol w:w="21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Daly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Daly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Chair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Kober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Kober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93594/000149359424000040/ex31fifthamendedandrestate.htm" TargetMode="External"/><Relationship Id="rId3" Type="http://schemas.openxmlformats.org/officeDocument/2006/relationships/hyperlink" Target="https://www.sec.gov/Archives/edgar/data/1493594/000149359423000008/mtsi-fourthamendedandrest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17591</Words>
  <Characters>96992</Characters>
  <CharactersWithSpaces>113372</CharactersWithSpaces>
  <Paragraphs>2510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