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April 3,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001-35451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MACOM Technology Solutions Holdings, Inc. </w:t>
      </w:r>
    </w:p>
    <w:p>
      <w:pPr>
        <w:pStyle w:val="TextBody"/>
        <w:bidi w:val="0"/>
        <w:spacing w:lineRule="auto" w:line="288" w:before="60" w:after="283"/>
        <w:jc w:val="center"/>
        <w:rPr/>
      </w:pPr>
      <w:r>
        <w:rPr>
          <w:rFonts w:ascii="Times New Roman;serif" w:hAnsi="Times New Roman;serif"/>
          <w:b/>
          <w:color w:val="000000"/>
          <w:sz w:val="20"/>
        </w:rPr>
        <w:t>(Exact name of registrant as specified in its charter)</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181"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27-0306875</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100 Chelmsford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Lowell, MA 01851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(978) 656-2500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684" w:type="dxa"/>
        <w:jc w:val="center"/>
        <w:tblInd w:w="0" w:type="dxa"/>
        <w:tblLayout w:type="fixed"/>
        <w:tblCellMar>
          <w:top w:w="28" w:type="dxa"/>
          <w:left w:w="28" w:type="dxa"/>
          <w:bottom w:w="28" w:type="dxa"/>
          <w:right w:w="28" w:type="dxa"/>
        </w:tblCellMar>
      </w:tblPr>
      <w:tblGrid>
        <w:gridCol w:w="1301"/>
        <w:gridCol w:w="1143"/>
        <w:gridCol w:w="1156"/>
        <w:gridCol w:w="564"/>
        <w:gridCol w:w="564"/>
        <w:gridCol w:w="566"/>
        <w:gridCol w:w="991"/>
        <w:gridCol w:w="991"/>
        <w:gridCol w:w="1408"/>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MTSI</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ind w:left="0" w:right="0" w:firstLine="495"/>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83"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ind w:left="0" w:right="0" w:firstLine="495"/>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w:t>
      </w:r>
    </w:p>
    <w:p>
      <w:pPr>
        <w:pStyle w:val="TextBody"/>
        <w:bidi w:val="0"/>
        <w:spacing w:before="20" w:after="140"/>
        <w:ind w:left="0" w:right="0" w:firstLine="495"/>
        <w:jc w:val="both"/>
        <w:rPr/>
      </w:pPr>
      <w:r>
        <w:rPr/>
      </w:r>
    </w:p>
    <w:p>
      <w:pPr>
        <w:pStyle w:val="TextBody"/>
        <w:bidi w:val="0"/>
        <w:spacing w:lineRule="auto" w:line="288" w:before="120" w:after="283"/>
        <w:ind w:left="0" w:right="0" w:firstLine="495"/>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May 4, 2026, there were 76,295,774 shares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MACOM TECHNOLOGY SOLUTIONS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767" w:type="dxa"/>
        <w:jc w:val="left"/>
        <w:tblInd w:w="0" w:type="dxa"/>
        <w:tblLayout w:type="fixed"/>
        <w:tblCellMar>
          <w:top w:w="28" w:type="dxa"/>
          <w:left w:w="28" w:type="dxa"/>
          <w:bottom w:w="28" w:type="dxa"/>
          <w:right w:w="28" w:type="dxa"/>
        </w:tblCellMar>
      </w:tblPr>
      <w:tblGrid>
        <w:gridCol w:w="294"/>
        <w:gridCol w:w="258"/>
        <w:gridCol w:w="258"/>
        <w:gridCol w:w="479"/>
        <w:gridCol w:w="479"/>
        <w:gridCol w:w="479"/>
        <w:gridCol w:w="1975"/>
        <w:gridCol w:w="1975"/>
        <w:gridCol w:w="1975"/>
        <w:gridCol w:w="466"/>
        <w:gridCol w:w="466"/>
        <w:gridCol w:w="66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9767"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10">
              <w:r>
                <w:rPr>
                  <w:rStyle w:val="InternetLink"/>
                  <w:rFonts w:ascii="Times New Roman;serif" w:hAnsi="Times New Roman;serif"/>
                  <w:b/>
                  <w:color w:val="0000FF"/>
                  <w:sz w:val="20"/>
                  <w:u w:val="single"/>
                </w:rPr>
                <w:t>PART I—FINANCIAL INFORMATION</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13">
              <w:r>
                <w:rPr>
                  <w:rStyle w:val="InternetLink"/>
                  <w:rFonts w:ascii="Times New Roman;serif" w:hAnsi="Times New Roman;serif"/>
                  <w:b w:val="false"/>
                  <w:color w:val="0000FF"/>
                  <w:sz w:val="20"/>
                  <w:u w:val="single"/>
                </w:rPr>
                <w:t>Financial Statements (Unaudited)</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6d6f1748804bee85a6c4e1c68a0229_13">
              <w:r>
                <w:rPr>
                  <w:rStyle w:val="InternetLink"/>
                  <w:rFonts w:ascii="Times New Roman;serif" w:hAnsi="Times New Roman;serif"/>
                  <w:b w:val="false"/>
                  <w:color w:val="0000FF"/>
                  <w:sz w:val="20"/>
                  <w:u w:val="single"/>
                </w:rPr>
                <w:t>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16">
              <w:r>
                <w:rPr>
                  <w:rStyle w:val="InternetLink"/>
                  <w:rFonts w:ascii="Times New Roman;serif" w:hAnsi="Times New Roman;serif"/>
                  <w:b w:val="false"/>
                  <w:color w:val="0000FF"/>
                  <w:sz w:val="20"/>
                  <w:u w:val="single"/>
                </w:rPr>
                <w:t>Condensed Consolidated Balance Sheets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6d6f1748804bee85a6c4e1c68a0229_16">
              <w:r>
                <w:rPr>
                  <w:rStyle w:val="InternetLink"/>
                  <w:rFonts w:ascii="Times New Roman;serif" w:hAnsi="Times New Roman;serif"/>
                  <w:b w:val="false"/>
                  <w:color w:val="0000FF"/>
                  <w:sz w:val="20"/>
                  <w:u w:val="single"/>
                </w:rPr>
                <w:t>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19">
              <w:r>
                <w:rPr>
                  <w:rStyle w:val="InternetLink"/>
                  <w:rFonts w:ascii="Times New Roman;serif" w:hAnsi="Times New Roman;serif"/>
                  <w:b w:val="false"/>
                  <w:color w:val="0000FF"/>
                  <w:sz w:val="20"/>
                  <w:u w:val="single"/>
                </w:rPr>
                <w:t>Condensed Consolidated Statements of Operations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6d6f1748804bee85a6c4e1c68a0229_19">
              <w:r>
                <w:rPr>
                  <w:rStyle w:val="InternetLink"/>
                  <w:rFonts w:ascii="Times New Roman;serif" w:hAnsi="Times New Roman;serif"/>
                  <w:b w:val="false"/>
                  <w:color w:val="0000FF"/>
                  <w:sz w:val="20"/>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22">
              <w:r>
                <w:rPr>
                  <w:rStyle w:val="InternetLink"/>
                  <w:rFonts w:ascii="Times New Roman;serif" w:hAnsi="Times New Roman;serif"/>
                  <w:b w:val="false"/>
                  <w:color w:val="0000FF"/>
                  <w:sz w:val="20"/>
                  <w:u w:val="single"/>
                </w:rPr>
                <w:t>Condensed Consolidated Statements of Comprehensive Income (Loss)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6d6f1748804bee85a6c4e1c68a0229_22">
              <w:r>
                <w:rPr>
                  <w:rStyle w:val="InternetLink"/>
                  <w:rFonts w:ascii="Times New Roman;serif" w:hAnsi="Times New Roman;serif"/>
                  <w:b w:val="false"/>
                  <w:color w:val="0000FF"/>
                  <w:sz w:val="20"/>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25">
              <w:r>
                <w:rPr>
                  <w:rStyle w:val="InternetLink"/>
                  <w:rFonts w:ascii="Times New Roman;serif" w:hAnsi="Times New Roman;serif"/>
                  <w:b w:val="false"/>
                  <w:color w:val="0000FF"/>
                  <w:sz w:val="20"/>
                  <w:u w:val="single"/>
                </w:rPr>
                <w:t xml:space="preserve">Condensed Consolidated Statements of Stockholders’ Equity </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6d6f1748804bee85a6c4e1c68a0229_25">
              <w:r>
                <w:rPr>
                  <w:rStyle w:val="InternetLink"/>
                  <w:rFonts w:ascii="Times New Roman;serif" w:hAnsi="Times New Roman;serif"/>
                  <w:b w:val="false"/>
                  <w:color w:val="0000FF"/>
                  <w:sz w:val="20"/>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28">
              <w:r>
                <w:rPr>
                  <w:rStyle w:val="InternetLink"/>
                  <w:rFonts w:ascii="Times New Roman;serif" w:hAnsi="Times New Roman;serif"/>
                  <w:b w:val="false"/>
                  <w:color w:val="0000FF"/>
                  <w:sz w:val="20"/>
                  <w:u w:val="single"/>
                </w:rPr>
                <w:t>Condensed Consolidated Statements of Cash Flows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6d6f1748804bee85a6c4e1c68a0229_28">
              <w:r>
                <w:rPr>
                  <w:rStyle w:val="InternetLink"/>
                  <w:rFonts w:ascii="Times New Roman;serif" w:hAnsi="Times New Roman;serif"/>
                  <w:b w:val="false"/>
                  <w:color w:val="0000FF"/>
                  <w:sz w:val="20"/>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31">
              <w:r>
                <w:rPr>
                  <w:rStyle w:val="InternetLink"/>
                  <w:rFonts w:ascii="Times New Roman;serif" w:hAnsi="Times New Roman;serif"/>
                  <w:b w:val="false"/>
                  <w:color w:val="0000FF"/>
                  <w:sz w:val="20"/>
                  <w:u w:val="single"/>
                </w:rPr>
                <w:t>Notes to Condensed Consolidated Financial Statements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6d6f1748804bee85a6c4e1c68a0229_31">
              <w:r>
                <w:rPr>
                  <w:rStyle w:val="InternetLink"/>
                  <w:rFonts w:ascii="Times New Roman;serif" w:hAnsi="Times New Roman;serif"/>
                  <w:b w:val="false"/>
                  <w:color w:val="0000FF"/>
                  <w:sz w:val="20"/>
                  <w:u w:val="single"/>
                </w:rPr>
                <w:t>7</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13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6d6f1748804bee85a6c4e1c68a0229_136">
              <w:r>
                <w:rPr>
                  <w:rStyle w:val="InternetLink"/>
                  <w:rFonts w:ascii="Times New Roman;serif" w:hAnsi="Times New Roman;serif"/>
                  <w:b w:val="false"/>
                  <w:color w:val="0000FF"/>
                  <w:sz w:val="20"/>
                  <w:u w:val="single"/>
                </w:rPr>
                <w:t>22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166">
              <w:r>
                <w:rPr>
                  <w:rStyle w:val="InternetLink"/>
                  <w:rFonts w:ascii="Times New Roman;serif" w:hAnsi="Times New Roman;serif"/>
                  <w:b w:val="false"/>
                  <w:color w:val="0000FF"/>
                  <w:sz w:val="20"/>
                  <w:u w:val="single"/>
                </w:rPr>
                <w:t>Quantitative and Qualitative Disclosures About Market Risk</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6d6f1748804bee85a6c4e1c68a0229_166">
              <w:r>
                <w:rPr>
                  <w:rStyle w:val="InternetLink"/>
                  <w:rFonts w:ascii="Times New Roman;serif" w:hAnsi="Times New Roman;serif"/>
                  <w:b w:val="false"/>
                  <w:color w:val="0000FF"/>
                  <w:sz w:val="20"/>
                  <w:u w:val="single"/>
                </w:rPr>
                <w:t>29</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172">
              <w:r>
                <w:rPr>
                  <w:rStyle w:val="InternetLink"/>
                  <w:rFonts w:ascii="Times New Roman;serif" w:hAnsi="Times New Roman;serif"/>
                  <w:b w:val="false"/>
                  <w:color w:val="0000FF"/>
                  <w:sz w:val="20"/>
                  <w:u w:val="single"/>
                </w:rPr>
                <w:t>Controls and Procedures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6d6f1748804bee85a6c4e1c68a0229_172">
              <w:r>
                <w:rPr>
                  <w:rStyle w:val="InternetLink"/>
                  <w:rFonts w:ascii="Times New Roman;serif" w:hAnsi="Times New Roman;serif"/>
                  <w:b w:val="false"/>
                  <w:color w:val="0000FF"/>
                  <w:sz w:val="20"/>
                  <w:u w:val="single"/>
                </w:rPr>
                <w:t>30</w:t>
              </w:r>
            </w:hyperlink>
          </w:p>
        </w:tc>
      </w:tr>
      <w:tr>
        <w:trPr/>
        <w:tc>
          <w:tcPr>
            <w:tcW w:w="9767"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175">
              <w:r>
                <w:rPr>
                  <w:rStyle w:val="InternetLink"/>
                  <w:rFonts w:ascii="Times New Roman;serif" w:hAnsi="Times New Roman;serif"/>
                  <w:b/>
                  <w:color w:val="0000FF"/>
                  <w:sz w:val="20"/>
                  <w:u w:val="single"/>
                </w:rPr>
                <w:t>PART II—OTHER INFORMATION</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178">
              <w:r>
                <w:rPr>
                  <w:rStyle w:val="InternetLink"/>
                  <w:rFonts w:ascii="Times New Roman;serif" w:hAnsi="Times New Roman;serif"/>
                  <w:b w:val="false"/>
                  <w:color w:val="0000FF"/>
                  <w:sz w:val="20"/>
                  <w:u w:val="single"/>
                </w:rPr>
                <w:t>Legal Proceedings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6d6f1748804bee85a6c4e1c68a0229_178">
              <w:r>
                <w:rPr>
                  <w:rStyle w:val="InternetLink"/>
                  <w:rFonts w:ascii="Times New Roman;serif" w:hAnsi="Times New Roman;serif"/>
                  <w:b w:val="false"/>
                  <w:color w:val="0000FF"/>
                  <w:sz w:val="20"/>
                  <w:u w:val="single"/>
                </w:rPr>
                <w:t>31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181">
              <w:r>
                <w:rPr>
                  <w:rStyle w:val="InternetLink"/>
                  <w:rFonts w:ascii="Times New Roman;serif" w:hAnsi="Times New Roman;serif"/>
                  <w:b w:val="false"/>
                  <w:color w:val="0000FF"/>
                  <w:sz w:val="20"/>
                  <w:u w:val="single"/>
                </w:rPr>
                <w:t>Risk Factors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6d6f1748804bee85a6c4e1c68a0229_181">
              <w:r>
                <w:rPr>
                  <w:rStyle w:val="InternetLink"/>
                  <w:rFonts w:ascii="Times New Roman;serif" w:hAnsi="Times New Roman;serif"/>
                  <w:b w:val="false"/>
                  <w:color w:val="0000FF"/>
                  <w:sz w:val="20"/>
                  <w:u w:val="single"/>
                </w:rPr>
                <w:t>31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184">
              <w:r>
                <w:rPr>
                  <w:rStyle w:val="InternetLink"/>
                  <w:rFonts w:ascii="Times New Roman;serif" w:hAnsi="Times New Roman;serif"/>
                  <w:b w:val="false"/>
                  <w:color w:val="0000FF"/>
                  <w:sz w:val="20"/>
                  <w:u w:val="single"/>
                </w:rPr>
                <w:t>Unregistered Sales of Equity Securities and Use of Proceeds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6d6f1748804bee85a6c4e1c68a0229_184">
              <w:r>
                <w:rPr>
                  <w:rStyle w:val="InternetLink"/>
                  <w:rFonts w:ascii="Times New Roman;serif" w:hAnsi="Times New Roman;serif"/>
                  <w:b w:val="false"/>
                  <w:color w:val="0000FF"/>
                  <w:sz w:val="20"/>
                  <w:u w:val="single"/>
                </w:rPr>
                <w:t>32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187">
              <w:r>
                <w:rPr>
                  <w:rStyle w:val="InternetLink"/>
                  <w:rFonts w:ascii="Times New Roman;serif" w:hAnsi="Times New Roman;serif"/>
                  <w:b w:val="false"/>
                  <w:color w:val="0000FF"/>
                  <w:sz w:val="20"/>
                  <w:u w:val="single"/>
                </w:rPr>
                <w:t>Other Information</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6d6f1748804bee85a6c4e1c68a0229_184">
              <w:r>
                <w:rPr>
                  <w:rStyle w:val="InternetLink"/>
                  <w:rFonts w:ascii="Times New Roman;serif" w:hAnsi="Times New Roman;serif"/>
                  <w:b w:val="false"/>
                  <w:color w:val="0000FF"/>
                  <w:sz w:val="20"/>
                  <w:u w:val="single"/>
                </w:rPr>
                <w:t>32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196">
              <w:r>
                <w:rPr>
                  <w:rStyle w:val="InternetLink"/>
                  <w:rFonts w:ascii="Times New Roman;serif" w:hAnsi="Times New Roman;serif"/>
                  <w:b w:val="false"/>
                  <w:color w:val="0000FF"/>
                  <w:sz w:val="20"/>
                  <w:u w:val="single"/>
                </w:rPr>
                <w:t>Exhibits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6d6f1748804bee85a6c4e1c68a0229_196">
              <w:r>
                <w:rPr>
                  <w:rStyle w:val="InternetLink"/>
                  <w:rFonts w:ascii="Times New Roman;serif" w:hAnsi="Times New Roman;serif"/>
                  <w:b w:val="false"/>
                  <w:color w:val="0000FF"/>
                  <w:sz w:val="20"/>
                  <w:u w:val="single"/>
                </w:rPr>
                <w:t>33</w:t>
              </w:r>
            </w:hyperlink>
          </w:p>
        </w:tc>
      </w:tr>
      <w:tr>
        <w:trPr/>
        <w:tc>
          <w:tcPr>
            <w:tcW w:w="817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f6d6f1748804bee85a6c4e1c68a0229_199">
              <w:r>
                <w:rPr>
                  <w:rStyle w:val="InternetLink"/>
                  <w:rFonts w:ascii="Times New Roman;serif" w:hAnsi="Times New Roman;serif"/>
                  <w:b w:val="false"/>
                  <w:color w:val="0000FF"/>
                  <w:sz w:val="20"/>
                  <w:u w:val="single"/>
                </w:rPr>
                <w:t>Signatures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6d6f1748804bee85a6c4e1c68a0229_199">
              <w:r>
                <w:rPr>
                  <w:rStyle w:val="InternetLink"/>
                  <w:rFonts w:ascii="Times New Roman;serif" w:hAnsi="Times New Roman;serif"/>
                  <w:b w:val="false"/>
                  <w:color w:val="0000FF"/>
                  <w:sz w:val="20"/>
                  <w:u w:val="singl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50" w:type="dxa"/>
        <w:jc w:val="left"/>
        <w:tblInd w:w="0" w:type="dxa"/>
        <w:tblLayout w:type="fixed"/>
        <w:tblCellMar>
          <w:top w:w="28" w:type="dxa"/>
          <w:left w:w="28" w:type="dxa"/>
          <w:bottom w:w="28" w:type="dxa"/>
          <w:right w:w="28" w:type="dxa"/>
        </w:tblCellMar>
      </w:tblPr>
      <w:tblGrid>
        <w:gridCol w:w="304"/>
        <w:gridCol w:w="267"/>
        <w:gridCol w:w="269"/>
        <w:gridCol w:w="764"/>
        <w:gridCol w:w="764"/>
        <w:gridCol w:w="1082"/>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MACOM TECHNOLOGY SOLUTIONS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6548" w:type="dxa"/>
        <w:jc w:val="center"/>
        <w:tblInd w:w="0" w:type="dxa"/>
        <w:tblLayout w:type="fixed"/>
        <w:tblCellMar>
          <w:top w:w="28" w:type="dxa"/>
          <w:left w:w="28" w:type="dxa"/>
          <w:bottom w:w="28" w:type="dxa"/>
          <w:right w:w="28" w:type="dxa"/>
        </w:tblCellMar>
      </w:tblPr>
      <w:tblGrid>
        <w:gridCol w:w="1388"/>
        <w:gridCol w:w="1213"/>
        <w:gridCol w:w="1223"/>
        <w:gridCol w:w="196"/>
        <w:gridCol w:w="871"/>
        <w:gridCol w:w="109"/>
        <w:gridCol w:w="109"/>
        <w:gridCol w:w="109"/>
        <w:gridCol w:w="109"/>
        <w:gridCol w:w="196"/>
        <w:gridCol w:w="871"/>
        <w:gridCol w:w="154"/>
      </w:tblGrid>
      <w:tr>
        <w:trPr/>
        <w:tc>
          <w:tcPr>
            <w:tcW w:w="138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net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1,205,088 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finance lease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obligations, less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obligation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776,265 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(see Note 13)</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1,327,095 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MACOM TECHNOLOGY SOLUTIONS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8114" w:type="dxa"/>
        <w:jc w:val="center"/>
        <w:tblInd w:w="0" w:type="dxa"/>
        <w:tblLayout w:type="fixed"/>
        <w:tblCellMar>
          <w:top w:w="28" w:type="dxa"/>
          <w:left w:w="28" w:type="dxa"/>
          <w:bottom w:w="28" w:type="dxa"/>
          <w:right w:w="28" w:type="dxa"/>
        </w:tblCellMar>
      </w:tblPr>
      <w:tblGrid>
        <w:gridCol w:w="1031"/>
        <w:gridCol w:w="905"/>
        <w:gridCol w:w="913"/>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11"/>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per share - 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per share -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Weighted average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MACOM TECHNOLOGY SOLUTIONS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lineRule="auto" w:line="288" w:before="0" w:after="0"/>
        <w:jc w:val="center"/>
        <w:rPr>
          <w:color w:val="000000"/>
        </w:rPr>
      </w:pPr>
      <w:r>
        <w:rPr>
          <w:color w:val="000000"/>
        </w:rPr>
        <w:t> </w:t>
      </w:r>
    </w:p>
    <w:tbl>
      <w:tblPr>
        <w:tblW w:w="9314" w:type="dxa"/>
        <w:jc w:val="center"/>
        <w:tblInd w:w="0" w:type="dxa"/>
        <w:tblLayout w:type="fixed"/>
        <w:tblCellMar>
          <w:top w:w="28" w:type="dxa"/>
          <w:left w:w="28" w:type="dxa"/>
          <w:bottom w:w="28" w:type="dxa"/>
          <w:right w:w="28" w:type="dxa"/>
        </w:tblCellMar>
      </w:tblPr>
      <w:tblGrid>
        <w:gridCol w:w="1560"/>
        <w:gridCol w:w="1375"/>
        <w:gridCol w:w="1384"/>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811"/>
        <w:gridCol w:w="154"/>
      </w:tblGrid>
      <w:tr>
        <w:trPr/>
        <w:tc>
          <w:tcPr>
            <w:tcW w:w="156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gain on short-term investments, net of tax</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(loss) gain, net of tax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gain, net of tax</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(137,492)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MACOM TECHNOLOGY SOLUTIONS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1020" w:type="dxa"/>
        <w:jc w:val="center"/>
        <w:tblInd w:w="0" w:type="dxa"/>
        <w:tblLayout w:type="fixed"/>
        <w:tblCellMar>
          <w:top w:w="28" w:type="dxa"/>
          <w:left w:w="28" w:type="dxa"/>
          <w:bottom w:w="28" w:type="dxa"/>
          <w:right w:w="28" w:type="dxa"/>
        </w:tblCellMar>
      </w:tblPr>
      <w:tblGrid>
        <w:gridCol w:w="755"/>
        <w:gridCol w:w="215"/>
        <w:gridCol w:w="216"/>
        <w:gridCol w:w="323"/>
        <w:gridCol w:w="323"/>
        <w:gridCol w:w="196"/>
        <w:gridCol w:w="109"/>
        <w:gridCol w:w="109"/>
        <w:gridCol w:w="109"/>
        <w:gridCol w:w="212"/>
        <w:gridCol w:w="359"/>
        <w:gridCol w:w="120"/>
        <w:gridCol w:w="109"/>
        <w:gridCol w:w="109"/>
        <w:gridCol w:w="109"/>
        <w:gridCol w:w="203"/>
        <w:gridCol w:w="203"/>
        <w:gridCol w:w="196"/>
        <w:gridCol w:w="109"/>
        <w:gridCol w:w="109"/>
        <w:gridCol w:w="109"/>
        <w:gridCol w:w="196"/>
        <w:gridCol w:w="436"/>
        <w:gridCol w:w="109"/>
        <w:gridCol w:w="109"/>
        <w:gridCol w:w="109"/>
        <w:gridCol w:w="109"/>
        <w:gridCol w:w="276"/>
        <w:gridCol w:w="785"/>
        <w:gridCol w:w="155"/>
        <w:gridCol w:w="109"/>
        <w:gridCol w:w="109"/>
        <w:gridCol w:w="109"/>
        <w:gridCol w:w="196"/>
        <w:gridCol w:w="871"/>
        <w:gridCol w:w="109"/>
        <w:gridCol w:w="109"/>
        <w:gridCol w:w="109"/>
        <w:gridCol w:w="109"/>
        <w:gridCol w:w="196"/>
        <w:gridCol w:w="751"/>
        <w:gridCol w:w="109"/>
        <w:gridCol w:w="109"/>
        <w:gridCol w:w="109"/>
        <w:gridCol w:w="109"/>
        <w:gridCol w:w="196"/>
        <w:gridCol w:w="8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April 3, 2026</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January 2,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75,034 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Vesting of restricted common stock and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withheld for taxes on employee equity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settlement of convertible notes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April 3, 2026</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76,317 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1,417,757 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020" w:type="dxa"/>
        <w:jc w:val="left"/>
        <w:tblInd w:w="0" w:type="dxa"/>
        <w:tblLayout w:type="fixed"/>
        <w:tblCellMar>
          <w:top w:w="28" w:type="dxa"/>
          <w:left w:w="28" w:type="dxa"/>
          <w:bottom w:w="28" w:type="dxa"/>
          <w:right w:w="28" w:type="dxa"/>
        </w:tblCellMar>
      </w:tblPr>
      <w:tblGrid>
        <w:gridCol w:w="745"/>
        <w:gridCol w:w="220"/>
        <w:gridCol w:w="221"/>
        <w:gridCol w:w="323"/>
        <w:gridCol w:w="323"/>
        <w:gridCol w:w="196"/>
        <w:gridCol w:w="109"/>
        <w:gridCol w:w="109"/>
        <w:gridCol w:w="109"/>
        <w:gridCol w:w="212"/>
        <w:gridCol w:w="359"/>
        <w:gridCol w:w="120"/>
        <w:gridCol w:w="109"/>
        <w:gridCol w:w="109"/>
        <w:gridCol w:w="109"/>
        <w:gridCol w:w="203"/>
        <w:gridCol w:w="203"/>
        <w:gridCol w:w="196"/>
        <w:gridCol w:w="109"/>
        <w:gridCol w:w="109"/>
        <w:gridCol w:w="109"/>
        <w:gridCol w:w="196"/>
        <w:gridCol w:w="436"/>
        <w:gridCol w:w="109"/>
        <w:gridCol w:w="109"/>
        <w:gridCol w:w="109"/>
        <w:gridCol w:w="109"/>
        <w:gridCol w:w="276"/>
        <w:gridCol w:w="785"/>
        <w:gridCol w:w="155"/>
        <w:gridCol w:w="109"/>
        <w:gridCol w:w="109"/>
        <w:gridCol w:w="109"/>
        <w:gridCol w:w="196"/>
        <w:gridCol w:w="871"/>
        <w:gridCol w:w="109"/>
        <w:gridCol w:w="109"/>
        <w:gridCol w:w="109"/>
        <w:gridCol w:w="109"/>
        <w:gridCol w:w="196"/>
        <w:gridCol w:w="751"/>
        <w:gridCol w:w="109"/>
        <w:gridCol w:w="109"/>
        <w:gridCol w:w="109"/>
        <w:gridCol w:w="109"/>
        <w:gridCol w:w="196"/>
        <w:gridCol w:w="871"/>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April 3, 2026</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October 3,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Vesting of restricted common stock and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withheld for taxes on employee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settlement of convertible notes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April 3, 2026</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76,317 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1,417,757 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tbl>
      <w:tblPr>
        <w:tblW w:w="11020" w:type="dxa"/>
        <w:jc w:val="center"/>
        <w:tblInd w:w="0" w:type="dxa"/>
        <w:tblLayout w:type="fixed"/>
        <w:tblCellMar>
          <w:top w:w="28" w:type="dxa"/>
          <w:left w:w="28" w:type="dxa"/>
          <w:bottom w:w="28" w:type="dxa"/>
          <w:right w:w="28" w:type="dxa"/>
        </w:tblCellMar>
      </w:tblPr>
      <w:tblGrid>
        <w:gridCol w:w="755"/>
        <w:gridCol w:w="215"/>
        <w:gridCol w:w="216"/>
        <w:gridCol w:w="323"/>
        <w:gridCol w:w="323"/>
        <w:gridCol w:w="196"/>
        <w:gridCol w:w="109"/>
        <w:gridCol w:w="109"/>
        <w:gridCol w:w="109"/>
        <w:gridCol w:w="212"/>
        <w:gridCol w:w="359"/>
        <w:gridCol w:w="120"/>
        <w:gridCol w:w="109"/>
        <w:gridCol w:w="109"/>
        <w:gridCol w:w="109"/>
        <w:gridCol w:w="203"/>
        <w:gridCol w:w="203"/>
        <w:gridCol w:w="196"/>
        <w:gridCol w:w="109"/>
        <w:gridCol w:w="109"/>
        <w:gridCol w:w="109"/>
        <w:gridCol w:w="196"/>
        <w:gridCol w:w="436"/>
        <w:gridCol w:w="109"/>
        <w:gridCol w:w="109"/>
        <w:gridCol w:w="109"/>
        <w:gridCol w:w="109"/>
        <w:gridCol w:w="272"/>
        <w:gridCol w:w="792"/>
        <w:gridCol w:w="152"/>
        <w:gridCol w:w="109"/>
        <w:gridCol w:w="109"/>
        <w:gridCol w:w="109"/>
        <w:gridCol w:w="196"/>
        <w:gridCol w:w="871"/>
        <w:gridCol w:w="109"/>
        <w:gridCol w:w="109"/>
        <w:gridCol w:w="109"/>
        <w:gridCol w:w="109"/>
        <w:gridCol w:w="196"/>
        <w:gridCol w:w="751"/>
        <w:gridCol w:w="109"/>
        <w:gridCol w:w="109"/>
        <w:gridCol w:w="109"/>
        <w:gridCol w:w="109"/>
        <w:gridCol w:w="196"/>
        <w:gridCol w:w="8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April 4, 2025</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 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January 3,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74,361 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1,150,889 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Vesting of restricted common stock and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withheld for taxes on employee equity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April 4,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74,406 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(321,714)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1,202,332 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020" w:type="dxa"/>
        <w:jc w:val="center"/>
        <w:tblInd w:w="0" w:type="dxa"/>
        <w:tblLayout w:type="fixed"/>
        <w:tblCellMar>
          <w:top w:w="28" w:type="dxa"/>
          <w:left w:w="28" w:type="dxa"/>
          <w:bottom w:w="28" w:type="dxa"/>
          <w:right w:w="28" w:type="dxa"/>
        </w:tblCellMar>
      </w:tblPr>
      <w:tblGrid>
        <w:gridCol w:w="630"/>
        <w:gridCol w:w="277"/>
        <w:gridCol w:w="279"/>
        <w:gridCol w:w="323"/>
        <w:gridCol w:w="323"/>
        <w:gridCol w:w="196"/>
        <w:gridCol w:w="109"/>
        <w:gridCol w:w="109"/>
        <w:gridCol w:w="109"/>
        <w:gridCol w:w="212"/>
        <w:gridCol w:w="359"/>
        <w:gridCol w:w="120"/>
        <w:gridCol w:w="109"/>
        <w:gridCol w:w="109"/>
        <w:gridCol w:w="109"/>
        <w:gridCol w:w="203"/>
        <w:gridCol w:w="203"/>
        <w:gridCol w:w="196"/>
        <w:gridCol w:w="109"/>
        <w:gridCol w:w="109"/>
        <w:gridCol w:w="109"/>
        <w:gridCol w:w="196"/>
        <w:gridCol w:w="436"/>
        <w:gridCol w:w="109"/>
        <w:gridCol w:w="109"/>
        <w:gridCol w:w="109"/>
        <w:gridCol w:w="109"/>
        <w:gridCol w:w="276"/>
        <w:gridCol w:w="785"/>
        <w:gridCol w:w="155"/>
        <w:gridCol w:w="109"/>
        <w:gridCol w:w="109"/>
        <w:gridCol w:w="109"/>
        <w:gridCol w:w="196"/>
        <w:gridCol w:w="871"/>
        <w:gridCol w:w="109"/>
        <w:gridCol w:w="109"/>
        <w:gridCol w:w="109"/>
        <w:gridCol w:w="109"/>
        <w:gridCol w:w="196"/>
        <w:gridCol w:w="751"/>
        <w:gridCol w:w="109"/>
        <w:gridCol w:w="109"/>
        <w:gridCol w:w="109"/>
        <w:gridCol w:w="109"/>
        <w:gridCol w:w="196"/>
        <w:gridCol w:w="87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April 4, 2025</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September 27,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1,126,343 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Vesting of restricted common stock and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withheld for taxes on employee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convertible note exchange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April 4,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74,406 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(321,714)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1,202,332 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MACOM TECHNOLOGY SOLUTIONS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792" w:type="dxa"/>
        <w:jc w:val="center"/>
        <w:tblInd w:w="0" w:type="dxa"/>
        <w:tblLayout w:type="fixed"/>
        <w:tblCellMar>
          <w:top w:w="28" w:type="dxa"/>
          <w:left w:w="28" w:type="dxa"/>
          <w:bottom w:w="28" w:type="dxa"/>
          <w:right w:w="28" w:type="dxa"/>
        </w:tblCellMar>
      </w:tblPr>
      <w:tblGrid>
        <w:gridCol w:w="2262"/>
        <w:gridCol w:w="1986"/>
        <w:gridCol w:w="1991"/>
        <w:gridCol w:w="219"/>
        <w:gridCol w:w="724"/>
        <w:gridCol w:w="122"/>
        <w:gridCol w:w="109"/>
        <w:gridCol w:w="109"/>
        <w:gridCol w:w="109"/>
        <w:gridCol w:w="196"/>
        <w:gridCol w:w="811"/>
        <w:gridCol w:w="154"/>
      </w:tblGrid>
      <w:tr>
        <w:trPr/>
        <w:tc>
          <w:tcPr>
            <w:tcW w:w="2262"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 2025</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intangibles amortization</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on marketable securities, net</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 net</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121,589 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software licenses and licensed technology</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short-term investments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short-term investments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(70,504)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 net of cash acquired</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73,516 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convertible notes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convertible notes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(161,151)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fee on convertible note exchange and debt issuance costs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finance leases and other financing activities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purchases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withheld for taxes on employee equity awards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(208,700)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effect on cash</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period</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98,521 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pPr>
      <w:r>
        <w:rPr>
          <w:rFonts w:ascii="Times New Roman;serif" w:hAnsi="Times New Roman;serif"/>
          <w:b w:val="false"/>
          <w:color w:val="000000"/>
          <w:sz w:val="20"/>
        </w:rPr>
        <w:t xml:space="preserve">See notes to condensed consolidated financial statements. For supplemental disclosure of cash flow information, see </w:t>
      </w:r>
      <w:r>
        <w:rPr>
          <w:rFonts w:ascii="Times New Roman;serif" w:hAnsi="Times New Roman;serif"/>
          <w:b w:val="false"/>
          <w:i/>
          <w:color w:val="000000"/>
          <w:sz w:val="20"/>
        </w:rPr>
        <w:t>Note 16.</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MACOM TECHNOLOGY SOLUTIONS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1.BASIS OF PRESENTATION AND SUMMARY OF SIGNIFICANT ACCOUNTING POLICIES</w:t>
      </w:r>
    </w:p>
    <w:p>
      <w:pPr>
        <w:pStyle w:val="TextBody"/>
        <w:bidi w:val="0"/>
        <w:spacing w:lineRule="auto" w:line="288" w:before="120" w:after="283"/>
        <w:ind w:left="0" w:right="0" w:firstLine="360"/>
        <w:jc w:val="both"/>
        <w:rPr/>
      </w:pPr>
      <w:r>
        <w:rPr>
          <w:rFonts w:ascii="Times New Roman;serif" w:hAnsi="Times New Roman;serif"/>
          <w:b/>
          <w:color w:val="000000"/>
          <w:sz w:val="20"/>
        </w:rPr>
        <w:t>Unaudited Interim Financial Information</w:t>
      </w:r>
      <w:r>
        <w:rPr>
          <w:color w:val="000000"/>
        </w:rPr>
        <w:t>—</w:t>
      </w:r>
      <w:r>
        <w:rPr>
          <w:rFonts w:ascii="Times New Roman;serif" w:hAnsi="Times New Roman;serif"/>
          <w:b w:val="false"/>
          <w:color w:val="000000"/>
          <w:sz w:val="20"/>
        </w:rPr>
        <w:t>The accompanying unaudited, condensed consolidated financial statements have been prepared according to the rules and regulations of the United States (the “U.S.”) Securities and Exchange Commission (the “SEC”) and, in the opinion of management, reflect all adjustments, which include normal recurring adjustments, necessary for a fair statement of the condensed consolidated balance sheets, condensed consolidated statements of operations, comprehensive income (loss), stockholders’ equity and cash flows of MACOM Technology Solutions Holdings, Inc. (“MACOM,” the “Company,” “us,” “we” or “our”) for the periods presented. We prepare our interim financial information using the same accounting principles we use for our annual audited consolidated financial statements. Certain information and note disclosures normally included in the annual audited consolidated financial statements have been condensed or omitted in accordance with prescribed SEC rules. We believe that the disclosures made in our condensed consolidated financial statements and the accompanying notes are adequate to make the information presented not misleading.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as of October 3, 2025 is as reported in our audited consolidated financial statements as of that date. Our accounting policies are described in the notes to our October 3, 2025 consolidated financial statements, which were included in our Annual Report on Form 10-K for our fiscal year ended October 3, 2025 filed with the SEC on November 14, 2025 (the “2025 Annual Report on Form 10-K”). We recommend that the financial statements included in this Quarterly Report on Form 10-Q be read in conjunction with the consolidated financial statements and notes included in our 2025 Annual Report on Form 10-K. </w:t>
      </w:r>
    </w:p>
    <w:p>
      <w:pPr>
        <w:pStyle w:val="TextBody"/>
        <w:bidi w:val="0"/>
        <w:spacing w:lineRule="auto" w:line="288" w:before="120" w:after="283"/>
        <w:ind w:left="0" w:right="0" w:firstLine="360"/>
        <w:jc w:val="both"/>
        <w:rPr/>
      </w:pPr>
      <w:r>
        <w:rPr>
          <w:rFonts w:ascii="Times New Roman;serif" w:hAnsi="Times New Roman;serif"/>
          <w:b/>
          <w:color w:val="000000"/>
          <w:sz w:val="20"/>
        </w:rPr>
        <w:t>Principles of Consolidation and Basis of Presentation</w:t>
      </w:r>
      <w:r>
        <w:rPr>
          <w:color w:val="000000"/>
        </w:rPr>
        <w:t>—</w:t>
      </w:r>
      <w:r>
        <w:rPr>
          <w:rFonts w:ascii="Times New Roman;serif" w:hAnsi="Times New Roman;serif"/>
          <w:b w:val="false"/>
          <w:color w:val="000000"/>
          <w:sz w:val="20"/>
        </w:rPr>
        <w:t>The accompanying condensed consolidated financial statements include our accounts and the accounts of our majority-owned subsidiaries. All intercompany balances and transactions have been eliminated in consolidation. In the condensed consolidated financial statements, certain prior year amounts within the condensed consolidated statement of cash flows have been reclassified to conform to the current year presentation.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52- or 53-week fiscal year ending on the Friday closest to the last day of September. Fiscal year 2026 includes 52 weeks and fiscal year 2025 included 53 weeks. To offset the effect of holidays, for fiscal years in which there are 53 weeks, we include the extra week arising in such fiscal years in the first fiscal quarter. Our first fiscal quarter ended January 2, 2026 included 13 weeks and the first fiscal quarter ended January 3, 2025 included 14 weeks. </w:t>
      </w:r>
    </w:p>
    <w:p>
      <w:pPr>
        <w:pStyle w:val="TextBody"/>
        <w:bidi w:val="0"/>
        <w:spacing w:lineRule="auto" w:line="288" w:before="120" w:after="283"/>
        <w:ind w:left="0" w:right="0" w:firstLine="360"/>
        <w:jc w:val="both"/>
        <w:rPr/>
      </w:pPr>
      <w:r>
        <w:rPr>
          <w:rFonts w:ascii="Times New Roman;serif" w:hAnsi="Times New Roman;serif"/>
          <w:b/>
          <w:color w:val="000000"/>
          <w:sz w:val="20"/>
        </w:rPr>
        <w:t>Use of Estimates</w:t>
      </w:r>
      <w:r>
        <w:rPr>
          <w:color w:val="000000"/>
        </w:rPr>
        <w:t>—</w:t>
      </w:r>
      <w:r>
        <w:rPr>
          <w:rFonts w:ascii="Times New Roman;serif" w:hAnsi="Times New Roman;serif"/>
          <w:b w:val="false"/>
          <w:color w:val="000000"/>
          <w:sz w:val="20"/>
        </w:rPr>
        <w:t>The preparation of condensed consolidated financial statements in conformity with U.S. generally accepted accounting principles (“GAAP”) requires management to make estimates and assumptions that affect the reported amounts of assets and liabilities during the reporting periods, the reported amounts of revenue and expenses during the reporting periods and the disclosure of contingent assets and liabilities at the date of the financial statements. On an ongoing basis, we base estimates and assumptions on historical experience, currently available information and various other factors that management believes to be reasonable under the circumstances. Actual results may differ materially from these estimates and assumptions. The accounting policies which our management believes involve the most significant application of judgment or involve complex estimation, are inventories and associated reserves; revenue reserves; business combinations; goodwill and intangible asset valuation; share-based compensation valuations and income taxes.</w:t>
      </w:r>
    </w:p>
    <w:p>
      <w:pPr>
        <w:pStyle w:val="TextBody"/>
        <w:bidi w:val="0"/>
        <w:spacing w:lineRule="auto" w:line="288" w:before="120" w:after="283"/>
        <w:ind w:left="0" w:right="0" w:firstLine="360"/>
        <w:jc w:val="both"/>
        <w:rPr/>
      </w:pPr>
      <w:r>
        <w:rPr>
          <w:rFonts w:ascii="Times New Roman;serif" w:hAnsi="Times New Roman;serif"/>
          <w:b/>
          <w:color w:val="000000"/>
          <w:sz w:val="20"/>
          <w:shd w:fill="FFFFFF" w:val="clear"/>
        </w:rPr>
        <w:t>Recent Accounting Pronouncements</w:t>
      </w:r>
      <w:r>
        <w:rPr>
          <w:color w:val="000000"/>
        </w:rPr>
        <w:t>—</w:t>
      </w:r>
      <w:r>
        <w:rPr>
          <w:rFonts w:ascii="Times New Roman;serif" w:hAnsi="Times New Roman;serif"/>
          <w:b w:val="false"/>
          <w:color w:val="000000"/>
          <w:sz w:val="20"/>
        </w:rPr>
        <w:t>Our Recent Accounting Pronouncements are described in our 2025 Annual Report on Form 10-K.</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November 2023, the Financial Accounting Standards Board (“FASB”) issued Accounting Standards Update (“ASU”) 2023-07, </w:t>
      </w:r>
      <w:r>
        <w:rPr>
          <w:rFonts w:ascii="Times New Roman;serif" w:hAnsi="Times New Roman;serif"/>
          <w:b w:val="false"/>
          <w:i/>
          <w:color w:val="000000"/>
          <w:sz w:val="20"/>
        </w:rPr>
        <w:t>Segment Reporting (Topic 280) Improvements to Reportable Segment Disclosures</w:t>
      </w:r>
      <w:r>
        <w:rPr>
          <w:rFonts w:ascii="Times New Roman;serif" w:hAnsi="Times New Roman;serif"/>
          <w:b w:val="false"/>
          <w:color w:val="000000"/>
          <w:sz w:val="20"/>
        </w:rPr>
        <w:t xml:space="preserve">, which improves disclosures about a public entity’s reportable segments and addresses requests from investors and other allocators of capital for additional, more detailed information about a reportable segment’s expenses. The amendments in this update improve financial reporting by requiring disclosure of incremental segment information on an annual and interim basis for all public entities to enable investors to develop more decision-useful financial analyses. We adopted this ASU for the fiscal year ended October 3, 2025. This ASU was applied on a retrospective basis to all periods presented. See </w:t>
      </w:r>
      <w:r>
        <w:rPr>
          <w:rFonts w:ascii="Times New Roman;serif" w:hAnsi="Times New Roman;serif"/>
          <w:b w:val="false"/>
          <w:i/>
          <w:color w:val="000000"/>
          <w:sz w:val="20"/>
        </w:rPr>
        <w:t>Note 17 - Segment Reporting and Geographic Information</w:t>
      </w:r>
      <w:r>
        <w:rPr>
          <w:color w:val="000000"/>
        </w:rPr>
        <w:t xml:space="preserve"> </w:t>
      </w:r>
      <w:r>
        <w:rPr>
          <w:rFonts w:ascii="Times New Roman;serif" w:hAnsi="Times New Roman;serif"/>
          <w:b w:val="false"/>
          <w:color w:val="000000"/>
          <w:sz w:val="20"/>
        </w:rPr>
        <w:t>for additional information on our interim disclosures.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 -</w:t>
      </w:r>
      <w:r>
        <w:rPr>
          <w:color w:val="000000"/>
        </w:rPr>
        <w:t xml:space="preserve"> </w:t>
      </w:r>
      <w:r>
        <w:rPr>
          <w:rFonts w:ascii="Times New Roman;serif" w:hAnsi="Times New Roman;serif"/>
          <w:b w:val="false"/>
          <w:i/>
          <w:color w:val="000000"/>
          <w:sz w:val="20"/>
        </w:rPr>
        <w:t>Debt with Conversion and Other Options (Subtopic 470-20) Induced Conversions of Convertible Debt Instruments</w:t>
      </w:r>
      <w:r>
        <w:rPr>
          <w:rFonts w:ascii="Times New Roman;serif" w:hAnsi="Times New Roman;serif"/>
          <w:b w:val="false"/>
          <w:color w:val="000000"/>
          <w:sz w:val="20"/>
        </w:rPr>
        <w:t xml:space="preserve">, which clarifies the requirements for determining whether certain settlements of convertible debt instruments should be accounted for as an induced conversion. We elected to early adopt ASU 2024-04 in the first fiscal quarter of 2025 and applied the amendment when assessing the accounting treatment for our debt extinguishment (discussed in </w:t>
      </w:r>
      <w:r>
        <w:rPr>
          <w:rFonts w:ascii="Times New Roman;serif" w:hAnsi="Times New Roman;serif"/>
          <w:b w:val="false"/>
          <w:i/>
          <w:color w:val="000000"/>
          <w:sz w:val="20"/>
        </w:rPr>
        <w:t>Note 10 - Debt</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 - Goodwill and Other - Internal-Use Software (Subtopic 350-40): Targeted Improvements to the Accounting for Internal-Use Software. </w:t>
      </w:r>
      <w:r>
        <w:rPr>
          <w:rFonts w:ascii="Times New Roman;serif" w:hAnsi="Times New Roman;serif"/>
          <w:b w:val="false"/>
          <w:color w:val="000000"/>
          <w:sz w:val="20"/>
        </w:rPr>
        <w:t>The ASU requires entities to begin capitalizing software costs when management authorizes and commits to funding the software project, and it is probable that the project will be completed and the software will be used for its intended purpose. We elected to early adopt ASU 2025-06 in the second fiscal quarter of 2026 and the adoption of this update did not have a material impact on our condensed consolidated financial statements and related disclosures.</w:t>
      </w:r>
    </w:p>
    <w:p>
      <w:pPr>
        <w:pStyle w:val="TextBody"/>
        <w:bidi w:val="0"/>
        <w:spacing w:lineRule="auto" w:line="288" w:before="120" w:after="283"/>
        <w:ind w:left="0" w:right="0" w:firstLine="360"/>
        <w:jc w:val="both"/>
        <w:rPr>
          <w:rFonts w:ascii="Times New Roman;serif" w:hAnsi="Times New Roman;serif"/>
          <w:b/>
          <w:color w:val="000000"/>
          <w:sz w:val="20"/>
        </w:rPr>
      </w:pPr>
      <w:r>
        <w:rPr>
          <w:rFonts w:ascii="Times New Roman;serif" w:hAnsi="Times New Roman;serif"/>
          <w:b/>
          <w:color w:val="000000"/>
          <w:sz w:val="20"/>
        </w:rPr>
        <w:t>Pronouncements for Adoption in Subsequent Periods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requires greater disaggregation of income tax disclosures. The amendments in this update improve the transparency of income tax disclosures by requiring (1) consistent categories and greater disaggregation of information in the rate reconciliation and (2) income taxes paid disaggregated by jurisdiction. Other amendments in this update improve the effectiveness and comparability of disclosures by (1) adding disclosures of pretax income (or loss) and income tax expense (or benefit) and (2) removing disclosures that no longer are considered cost beneficial or relevant. This ASU should be applied on a prospective basis, with retrospective application permitted. The guidance in this update is effective for annual reporting periods beginning after December 15, 2024. We are currently evaluating the future effect the adoption of this ASU will have on our consolidated financial statements and related disclosures.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Reporting Comprehensive Income - Expense Disaggregation Disclosures</w:t>
      </w:r>
      <w:r>
        <w:rPr>
          <w:rFonts w:ascii="Times New Roman;serif" w:hAnsi="Times New Roman;serif"/>
          <w:b w:val="false"/>
          <w:color w:val="000000"/>
          <w:sz w:val="20"/>
        </w:rPr>
        <w:t xml:space="preserve">, as amended by ASU 2025-01, </w:t>
      </w:r>
      <w:r>
        <w:rPr>
          <w:rFonts w:ascii="Times New Roman;serif" w:hAnsi="Times New Roman;serif"/>
          <w:b w:val="false"/>
          <w:i/>
          <w:color w:val="000000"/>
          <w:sz w:val="20"/>
        </w:rPr>
        <w:t>Income Statement Reporting Comprehensive Income - Expense Disaggregation Disclosures: Clarifying the Effective Date,</w:t>
      </w:r>
      <w:r>
        <w:rPr>
          <w:color w:val="000000"/>
        </w:rPr>
        <w:t xml:space="preserve"> </w:t>
      </w:r>
      <w:r>
        <w:rPr>
          <w:rFonts w:ascii="Times New Roman;serif" w:hAnsi="Times New Roman;serif"/>
          <w:b w:val="false"/>
          <w:color w:val="000000"/>
          <w:sz w:val="20"/>
        </w:rPr>
        <w:t>which requires disclosure, in the notes to financial statements, of specified information about certain costs and expenses. The amendments in this update improve financial reporting by requiring that public business entities disclose additional information about specific expense categories in the notes to financial statements at interim and annual reporting periods. This ASU should be applied on a prospective basis, with retrospective application permitted. The amendments in this update are effective for annual reporting periods beginning after December 15, 2026 and interim periods within annual reporting periods beginning after December 15, 2027, with early adoption permitted. We are currently evaluating the future effect the adoption of this ASU will have on our consolidated financial statements and related disclosures.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The ASU amends guidance for measuring credit losses on current accounts receivable and contract assets that arise from transactions accounted for under ASC 606 by providing all entities with the ability to elect a practical expedient that assumes that current conditions as of the balance sheet date do not change for the remaining life of the asset. This ASU should be applied on a prospective basis. The guidance in this update is effective for annual reporting periods beginning after December 15, 2025 and interim reporting periods within those annual reporting periods, with early adoption permitted. We are currently evaluating the future effect the adoption of this ASU will have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REVENUE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Disaggregation of Revenue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disaggregate revenue from contracts with customers by markets and geography, as we believe it best depicts how the nature, amount, timing and uncertainty of revenue and cash flows are affected by economic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revenue disaggregated by markets and geography (in thousands):</w:t>
      </w:r>
    </w:p>
    <w:tbl>
      <w:tblPr>
        <w:tblW w:w="7291" w:type="dxa"/>
        <w:jc w:val="center"/>
        <w:tblInd w:w="0" w:type="dxa"/>
        <w:tblLayout w:type="fixed"/>
        <w:tblCellMar>
          <w:top w:w="28" w:type="dxa"/>
          <w:left w:w="28" w:type="dxa"/>
          <w:bottom w:w="28" w:type="dxa"/>
          <w:right w:w="28" w:type="dxa"/>
        </w:tblCellMar>
      </w:tblPr>
      <w:tblGrid>
        <w:gridCol w:w="647"/>
        <w:gridCol w:w="567"/>
        <w:gridCol w:w="571"/>
        <w:gridCol w:w="206"/>
        <w:gridCol w:w="774"/>
        <w:gridCol w:w="114"/>
        <w:gridCol w:w="109"/>
        <w:gridCol w:w="109"/>
        <w:gridCol w:w="109"/>
        <w:gridCol w:w="206"/>
        <w:gridCol w:w="774"/>
        <w:gridCol w:w="114"/>
        <w:gridCol w:w="109"/>
        <w:gridCol w:w="109"/>
        <w:gridCol w:w="109"/>
        <w:gridCol w:w="206"/>
        <w:gridCol w:w="774"/>
        <w:gridCol w:w="114"/>
        <w:gridCol w:w="109"/>
        <w:gridCol w:w="109"/>
        <w:gridCol w:w="109"/>
        <w:gridCol w:w="196"/>
        <w:gridCol w:w="736"/>
        <w:gridCol w:w="311"/>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4, 2025</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Revenue by Market:</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Industrial &amp; Defense</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195,942 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Data Center</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137,464 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120,603 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288,955 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235,887 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560,567 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454,009 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50" w:type="dxa"/>
        <w:jc w:val="center"/>
        <w:tblInd w:w="0" w:type="dxa"/>
        <w:tblLayout w:type="fixed"/>
        <w:tblCellMar>
          <w:top w:w="28" w:type="dxa"/>
          <w:left w:w="28" w:type="dxa"/>
          <w:bottom w:w="28" w:type="dxa"/>
          <w:right w:w="28" w:type="dxa"/>
        </w:tblCellMar>
      </w:tblPr>
      <w:tblGrid>
        <w:gridCol w:w="993"/>
        <w:gridCol w:w="873"/>
        <w:gridCol w:w="878"/>
        <w:gridCol w:w="206"/>
        <w:gridCol w:w="774"/>
        <w:gridCol w:w="114"/>
        <w:gridCol w:w="109"/>
        <w:gridCol w:w="109"/>
        <w:gridCol w:w="109"/>
        <w:gridCol w:w="206"/>
        <w:gridCol w:w="774"/>
        <w:gridCol w:w="114"/>
        <w:gridCol w:w="109"/>
        <w:gridCol w:w="109"/>
        <w:gridCol w:w="109"/>
        <w:gridCol w:w="206"/>
        <w:gridCol w:w="774"/>
        <w:gridCol w:w="114"/>
        <w:gridCol w:w="109"/>
        <w:gridCol w:w="109"/>
        <w:gridCol w:w="109"/>
        <w:gridCol w:w="196"/>
        <w:gridCol w:w="736"/>
        <w:gridCol w:w="311"/>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4, 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18"/>
              </w:rPr>
              <w:t>Revenue by Geographic Region</w:t>
            </w:r>
            <w:r>
              <w:rPr>
                <w:rFonts w:ascii="Times New Roman;serif" w:hAnsi="Times New Roman;serif"/>
                <w:b/>
                <w:color w:val="000000"/>
                <w:sz w:val="12"/>
              </w:rPr>
              <w:t>(1)</w:t>
            </w:r>
            <w:r>
              <w:rPr>
                <w:rFonts w:ascii="Times New Roman;serif" w:hAnsi="Times New Roman;serif"/>
                <w:b/>
                <w:color w:val="000000"/>
                <w:sz w:val="18"/>
              </w:rPr>
              <w:t>:</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both"/>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205,243 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both"/>
              <w:rPr>
                <w:rFonts w:ascii="Times New Roman;serif" w:hAnsi="Times New Roman;serif"/>
                <w:b w:val="false"/>
                <w:color w:val="000000"/>
                <w:sz w:val="18"/>
              </w:rPr>
            </w:pPr>
            <w:r>
              <w:rPr>
                <w:rFonts w:ascii="Times New Roman;serif" w:hAnsi="Times New Roman;serif"/>
                <w:b w:val="false"/>
                <w:color w:val="000000"/>
                <w:sz w:val="18"/>
              </w:rPr>
              <w:t>China</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126,578 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Asia Pacific, excluding China</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46,940 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both"/>
              <w:rPr/>
            </w:pPr>
            <w:r>
              <w:rPr>
                <w:rFonts w:ascii="Times New Roman;serif" w:hAnsi="Times New Roman;serif"/>
                <w:b w:val="false"/>
                <w:color w:val="000000"/>
                <w:sz w:val="18"/>
              </w:rPr>
              <w:t xml:space="preserve">Other Countries </w:t>
            </w:r>
            <w:r>
              <w:rPr>
                <w:rFonts w:ascii="Times New Roman;serif" w:hAnsi="Times New Roman;serif"/>
                <w:b w:val="false"/>
                <w:color w:val="000000"/>
                <w:sz w:val="12"/>
              </w:rPr>
              <w:t>(2)</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75,248 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288,955 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235,887 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560,567 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454,009 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(1)Revenue by geographic region is aggregated by customer billing address.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(2)No country or region represented greater than 10% of our total revenue as of the dates presented, other than the United States, China and Asia Pacific region as presented above.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Contract Balances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contract assets or contract liabilities depending on the timing of revenue recognition, billings and cash collections on a contract-by-contract basis. Our contract liabilities primarily relate to deferred revenue, including advanced consideration received from customers for contracts prior to the transfer of control to the customer, and, therefore, revenue is subsequently recognized upon delivery of products and services.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contract liabilities during the six months ended April 3, 2026 (in thousands, except percentage):</w:t>
      </w:r>
    </w:p>
    <w:tbl>
      <w:tblPr>
        <w:tblW w:w="6879" w:type="dxa"/>
        <w:jc w:val="center"/>
        <w:tblInd w:w="0" w:type="dxa"/>
        <w:tblLayout w:type="fixed"/>
        <w:tblCellMar>
          <w:top w:w="28" w:type="dxa"/>
          <w:left w:w="28" w:type="dxa"/>
          <w:bottom w:w="28" w:type="dxa"/>
          <w:right w:w="28" w:type="dxa"/>
        </w:tblCellMar>
      </w:tblPr>
      <w:tblGrid>
        <w:gridCol w:w="527"/>
        <w:gridCol w:w="462"/>
        <w:gridCol w:w="466"/>
        <w:gridCol w:w="249"/>
        <w:gridCol w:w="707"/>
        <w:gridCol w:w="138"/>
        <w:gridCol w:w="109"/>
        <w:gridCol w:w="109"/>
        <w:gridCol w:w="109"/>
        <w:gridCol w:w="297"/>
        <w:gridCol w:w="843"/>
        <w:gridCol w:w="165"/>
        <w:gridCol w:w="109"/>
        <w:gridCol w:w="109"/>
        <w:gridCol w:w="109"/>
        <w:gridCol w:w="196"/>
        <w:gridCol w:w="631"/>
        <w:gridCol w:w="109"/>
        <w:gridCol w:w="109"/>
        <w:gridCol w:w="109"/>
        <w:gridCol w:w="109"/>
        <w:gridCol w:w="269"/>
        <w:gridCol w:w="271"/>
        <w:gridCol w:w="568"/>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45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18"/>
              </w:rPr>
              <w:t>Contract liabilities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7,676 </w:t>
            </w:r>
          </w:p>
        </w:tc>
        <w:tc>
          <w:tcPr>
            <w:tcW w:w="16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(3,516)</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w:t>
            </w:r>
          </w:p>
        </w:tc>
        <w:tc>
          <w:tcPr>
            <w:tcW w:w="56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April 3, 2026, we recognized revenue of $1.9 million and $5.2 million, respectively, that were included in the contract liabilities balance as of October 3, 2025. During the three and six months ended April 4, 2025, we recognized revenue of $0.5 million and $1.4 million, respectively, that were included in the contract liabilities balance as of September 27, 2024. The decrease in contract liabilities during the six months ended April 3, 2026 was primarily related to recognition of revenue that was previously deferred for products and services invoiced prior to when certain of our customers obtained control of such products and/or services, partially offset by deferral of revenue for additional invoicing prior to when our customers obtain control of such products and/or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ACQUISITIONS</w:t>
      </w:r>
    </w:p>
    <w:p>
      <w:pPr>
        <w:pStyle w:val="TextBody"/>
        <w:bidi w:val="0"/>
        <w:spacing w:lineRule="auto" w:line="288" w:before="120" w:after="283"/>
        <w:ind w:left="0" w:right="0" w:firstLine="360"/>
        <w:jc w:val="both"/>
        <w:rPr/>
      </w:pPr>
      <w:r>
        <w:rPr>
          <w:rFonts w:ascii="Times New Roman;serif" w:hAnsi="Times New Roman;serif"/>
          <w:b/>
          <w:color w:val="000000"/>
          <w:sz w:val="20"/>
          <w:shd w:fill="FFFFFF" w:val="clear"/>
        </w:rPr>
        <w:t>ENGIN-IC, Inc.—</w:t>
      </w:r>
      <w:r>
        <w:rPr>
          <w:rFonts w:ascii="Times New Roman;serif" w:hAnsi="Times New Roman;serif"/>
          <w:b w:val="false"/>
          <w:color w:val="000000"/>
          <w:sz w:val="20"/>
        </w:rPr>
        <w:t>On November 5, 2024, we completed the acquisition of ENGIN-IC, Inc. (“ENGIN-IC”), a fabless semiconductor company that designs advanced gallium arsenide (“GaAs”) and gallium nitride (“GaN”) monolithic microwave integrated circuits (“MMICs”) and integrated microwave assemblies located in Plano, Texas and San Diego, California (the “ENGIN-IC Acquisition”). We acquired ENGIN-IC to further expand and strengthen our MMIC and module design capabilities. In connection with the ENGIN-IC Acquisition, we acquired all of the outstanding shares of ENGIN-IC for a total purchase price of approximately $14.4 million with cash consideration of $12.7 million, net of cash acquired of $0.2 million, and deferred consideration payable of $1.5 million related to customary agreement provisions not associated with future performance of the acquired business. We paid $0.7 million of the deferred consideration during the six months ended April 3, 2026 and the remainder is expected to be paid during our third fiscal quarter of 2026. The ENGIN-IC Acquisition was accounted for as a business combination and the operations of ENGIN-IC have been included in our consolidated financial statements since the date of acquisition. We finalized the ENGIN-IC Acquisition purchase accounting during the fiscal quarter ended January 2, 2026 and adjustments were immaterial. We recorded the final allocation of the purchase price for ENGIN-IC, which primarily resulted in intangible assets, including acquired technology and customer relationships, of $9.7 million and goodwill of $5.1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estimated pro forma unaudited revenue and consolidated estimated pro forma unaudited net loss during the three and six months ended April 4, 2025 and the actual results of operations for ENGIN-IC since the acquisition date are not material to our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4. INVESTMENTS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investments are short-term in nature and are invested in corporate bonds, commercial paper, U.S. Treasuries and agency bonds, and are classified as available-for-sale. The Company classifies investments with maturity dates greater than twelve months as short-term investments rather than long-term investments based on the nature of the securities and the availability for use in current operations. The Company believes this method is preferable because it is more reflective of the Company’s assessment of its overall liquidity position. These investments are owned directly by the Company and are segregated in brokerage custody accounts. The amortized cost, gross unrealized holding gains or losses and fair value of our available-for-sale investments by major investment type are summarized in the tables below (in thousands):</w:t>
      </w:r>
    </w:p>
    <w:tbl>
      <w:tblPr>
        <w:tblW w:w="8233" w:type="dxa"/>
        <w:jc w:val="center"/>
        <w:tblInd w:w="0" w:type="dxa"/>
        <w:tblLayout w:type="fixed"/>
        <w:tblCellMar>
          <w:top w:w="28" w:type="dxa"/>
          <w:left w:w="28" w:type="dxa"/>
          <w:bottom w:w="28" w:type="dxa"/>
          <w:right w:w="28" w:type="dxa"/>
        </w:tblCellMar>
      </w:tblPr>
      <w:tblGrid>
        <w:gridCol w:w="923"/>
        <w:gridCol w:w="811"/>
        <w:gridCol w:w="815"/>
        <w:gridCol w:w="196"/>
        <w:gridCol w:w="736"/>
        <w:gridCol w:w="109"/>
        <w:gridCol w:w="109"/>
        <w:gridCol w:w="109"/>
        <w:gridCol w:w="109"/>
        <w:gridCol w:w="273"/>
        <w:gridCol w:w="775"/>
        <w:gridCol w:w="152"/>
        <w:gridCol w:w="109"/>
        <w:gridCol w:w="109"/>
        <w:gridCol w:w="109"/>
        <w:gridCol w:w="313"/>
        <w:gridCol w:w="697"/>
        <w:gridCol w:w="176"/>
        <w:gridCol w:w="109"/>
        <w:gridCol w:w="109"/>
        <w:gridCol w:w="109"/>
        <w:gridCol w:w="230"/>
        <w:gridCol w:w="864"/>
        <w:gridCol w:w="182"/>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Holding Gains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Holding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Fair</w:t>
              <w:br/>
              <w:t>Value</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530,342 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 and agency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35,995 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short-term investments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566,337 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33" w:type="dxa"/>
        <w:jc w:val="center"/>
        <w:tblInd w:w="0" w:type="dxa"/>
        <w:tblLayout w:type="fixed"/>
        <w:tblCellMar>
          <w:top w:w="28" w:type="dxa"/>
          <w:left w:w="28" w:type="dxa"/>
          <w:bottom w:w="28" w:type="dxa"/>
          <w:right w:w="28" w:type="dxa"/>
        </w:tblCellMar>
      </w:tblPr>
      <w:tblGrid>
        <w:gridCol w:w="922"/>
        <w:gridCol w:w="812"/>
        <w:gridCol w:w="815"/>
        <w:gridCol w:w="196"/>
        <w:gridCol w:w="736"/>
        <w:gridCol w:w="109"/>
        <w:gridCol w:w="109"/>
        <w:gridCol w:w="109"/>
        <w:gridCol w:w="109"/>
        <w:gridCol w:w="273"/>
        <w:gridCol w:w="775"/>
        <w:gridCol w:w="152"/>
        <w:gridCol w:w="109"/>
        <w:gridCol w:w="109"/>
        <w:gridCol w:w="109"/>
        <w:gridCol w:w="357"/>
        <w:gridCol w:w="630"/>
        <w:gridCol w:w="199"/>
        <w:gridCol w:w="109"/>
        <w:gridCol w:w="109"/>
        <w:gridCol w:w="109"/>
        <w:gridCol w:w="230"/>
        <w:gridCol w:w="864"/>
        <w:gridCol w:w="182"/>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Holding Gains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Holding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Fair</w:t>
              <w:br/>
              <w:t>Value</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557,579 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49,516 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 and agency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66,738 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short-term investments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673,833 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contractual maturities of available-for-sale investments were as follows (in thousands):</w:t>
      </w:r>
    </w:p>
    <w:tbl>
      <w:tblPr>
        <w:tblW w:w="4751" w:type="dxa"/>
        <w:jc w:val="left"/>
        <w:tblInd w:w="0" w:type="dxa"/>
        <w:tblLayout w:type="fixed"/>
        <w:tblCellMar>
          <w:top w:w="28" w:type="dxa"/>
          <w:left w:w="28" w:type="dxa"/>
          <w:bottom w:w="28" w:type="dxa"/>
          <w:right w:w="28" w:type="dxa"/>
        </w:tblCellMar>
      </w:tblPr>
      <w:tblGrid>
        <w:gridCol w:w="948"/>
        <w:gridCol w:w="832"/>
        <w:gridCol w:w="844"/>
        <w:gridCol w:w="196"/>
        <w:gridCol w:w="736"/>
        <w:gridCol w:w="109"/>
        <w:gridCol w:w="196"/>
        <w:gridCol w:w="736"/>
        <w:gridCol w:w="154"/>
      </w:tblGrid>
      <w:tr>
        <w:trPr/>
        <w:tc>
          <w:tcPr>
            <w:tcW w:w="94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than one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Over one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available-for-sale investments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673,833 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firstLine="360"/>
        <w:jc w:val="both"/>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determined that the gross unrealized losses on available for sale securities as of April 3, 2026 and October 3, 2025 are temporary in nature and/or do not relate to credit loss, and therefore, there is no expense for credit losses recorded in our condensed consolidated statements of operations. Unrealized gains and losses on available-for-sale investments are reported as a separate component of stockholders’ equity within accumulated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5. FAIR VALUE AND FINANCIAL INSTRUMENTS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group our financial assets and liabilities measured at fair value on a recurring basis in three levels, based on the markets in which the assets and liabilities are traded, and the reliability of the assumptions used to determine fair value. These levels are: </w:t>
      </w:r>
    </w:p>
    <w:tbl>
      <w:tblPr>
        <w:tblW w:w="10205" w:type="dxa"/>
        <w:jc w:val="center"/>
        <w:tblInd w:w="0" w:type="dxa"/>
        <w:tblLayout w:type="fixed"/>
        <w:tblCellMar>
          <w:top w:w="28" w:type="dxa"/>
          <w:left w:w="28" w:type="dxa"/>
          <w:bottom w:w="28" w:type="dxa"/>
          <w:right w:w="28" w:type="dxa"/>
        </w:tblCellMar>
      </w:tblPr>
      <w:tblGrid>
        <w:gridCol w:w="3413"/>
        <w:gridCol w:w="2809"/>
        <w:gridCol w:w="3983"/>
      </w:tblGrid>
      <w:tr>
        <w:trPr/>
        <w:tc>
          <w:tcPr>
            <w:tcW w:w="3413"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398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Level 1</w:t>
            </w:r>
            <w:r>
              <w:rPr>
                <w:color w:val="000000"/>
              </w:rPr>
              <w:t xml:space="preserve"> </w:t>
            </w:r>
            <w:r>
              <w:rPr>
                <w:rFonts w:ascii="Times New Roman;serif" w:hAnsi="Times New Roman;serif"/>
                <w:b w:val="false"/>
                <w:i/>
                <w:color w:val="000000"/>
                <w:sz w:val="20"/>
              </w:rPr>
              <w:t>- Quoted prices in active markets for identical assets or liabilities.</w:t>
            </w:r>
            <w:r>
              <w:rPr>
                <w:color w:val="000000"/>
              </w:rPr>
              <w:t xml:space="preserve">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 xml:space="preserve">Level 2 </w:t>
            </w:r>
            <w:r>
              <w:rPr>
                <w:rFonts w:ascii="Times New Roman;serif" w:hAnsi="Times New Roman;serif"/>
                <w:b w:val="false"/>
                <w:i/>
                <w:color w:val="000000"/>
                <w:sz w:val="20"/>
              </w:rPr>
              <w:t>- Observable inputs other than Level 1 prices, such as quoted prices for similar assets or liabilities, quoted prices in markets with insufficient volume or infrequent transactions (less active markets), or model-driven valuations in which all significant inputs are observable or can be derived principally from, or corroborated with, observable market data.</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Level 3</w:t>
            </w:r>
            <w:r>
              <w:rPr>
                <w:color w:val="000000"/>
              </w:rPr>
              <w:t xml:space="preserve"> </w:t>
            </w:r>
            <w:r>
              <w:rPr>
                <w:rFonts w:ascii="Times New Roman;serif" w:hAnsi="Times New Roman;serif"/>
                <w:b w:val="false"/>
                <w:i/>
                <w:color w:val="000000"/>
                <w:sz w:val="20"/>
              </w:rPr>
              <w:t>- Fair value is derived from valuation techniques in which one or more significant inputs are unobservable, including assumptions and judgments made by us.</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Assets and Liabilities Measured and Recorded at Fair Value on a Recurring Basis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measure certain assets and liabilities at fair value on a recurring basis such as our financial instruments. There have been no transfers between Level 1, 2 or 3 assets or liabilities during the three and six months ended April 3,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consist of the following (in thousands):</w:t>
      </w:r>
    </w:p>
    <w:tbl>
      <w:tblPr>
        <w:tblW w:w="10205" w:type="dxa"/>
        <w:jc w:val="left"/>
        <w:tblInd w:w="0" w:type="dxa"/>
        <w:tblLayout w:type="fixed"/>
        <w:tblCellMar>
          <w:top w:w="28" w:type="dxa"/>
          <w:left w:w="28" w:type="dxa"/>
          <w:bottom w:w="28" w:type="dxa"/>
          <w:right w:w="28" w:type="dxa"/>
        </w:tblCellMar>
      </w:tblPr>
      <w:tblGrid>
        <w:gridCol w:w="763"/>
        <w:gridCol w:w="603"/>
        <w:gridCol w:w="611"/>
        <w:gridCol w:w="196"/>
        <w:gridCol w:w="736"/>
        <w:gridCol w:w="109"/>
        <w:gridCol w:w="109"/>
        <w:gridCol w:w="109"/>
        <w:gridCol w:w="109"/>
        <w:gridCol w:w="520"/>
        <w:gridCol w:w="1716"/>
        <w:gridCol w:w="289"/>
        <w:gridCol w:w="109"/>
        <w:gridCol w:w="109"/>
        <w:gridCol w:w="109"/>
        <w:gridCol w:w="329"/>
        <w:gridCol w:w="1239"/>
        <w:gridCol w:w="183"/>
        <w:gridCol w:w="109"/>
        <w:gridCol w:w="109"/>
        <w:gridCol w:w="109"/>
        <w:gridCol w:w="497"/>
        <w:gridCol w:w="1032"/>
        <w:gridCol w:w="401"/>
      </w:tblGrid>
      <w:tr>
        <w:trPr/>
        <w:tc>
          <w:tcPr>
            <w:tcW w:w="76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 Inputs (Level 3)</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43,112 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r>
      <w:tr>
        <w:trPr/>
        <w:tc>
          <w:tcPr>
            <w:tcW w:w="19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 and agency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65,637 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543,812 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r>
      <w:tr>
        <w:trPr/>
        <w:tc>
          <w:tcPr>
            <w:tcW w:w="19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r>
      <w:tr>
        <w:trPr/>
        <w:tc>
          <w:tcPr>
            <w:tcW w:w="19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r>
      <w:tr>
        <w:trPr/>
        <w:tc>
          <w:tcPr>
            <w:tcW w:w="19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r>
      <w:tr>
        <w:trPr/>
        <w:tc>
          <w:tcPr>
            <w:tcW w:w="19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r>
      <w:tr>
        <w:trPr/>
        <w:tc>
          <w:tcPr>
            <w:tcW w:w="19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r>
      <w:tr>
        <w:trPr/>
        <w:tc>
          <w:tcPr>
            <w:tcW w:w="19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99"/>
        <w:gridCol w:w="596"/>
        <w:gridCol w:w="604"/>
        <w:gridCol w:w="196"/>
        <w:gridCol w:w="736"/>
        <w:gridCol w:w="109"/>
        <w:gridCol w:w="109"/>
        <w:gridCol w:w="109"/>
        <w:gridCol w:w="109"/>
        <w:gridCol w:w="476"/>
        <w:gridCol w:w="1789"/>
        <w:gridCol w:w="264"/>
        <w:gridCol w:w="109"/>
        <w:gridCol w:w="109"/>
        <w:gridCol w:w="109"/>
        <w:gridCol w:w="327"/>
        <w:gridCol w:w="1230"/>
        <w:gridCol w:w="181"/>
        <w:gridCol w:w="109"/>
        <w:gridCol w:w="109"/>
        <w:gridCol w:w="109"/>
        <w:gridCol w:w="494"/>
        <w:gridCol w:w="1025"/>
        <w:gridCol w:w="398"/>
      </w:tblGrid>
      <w:tr>
        <w:trPr/>
        <w:tc>
          <w:tcPr>
            <w:tcW w:w="79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 Inputs (Level 3)</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63,811 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 and agency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45,373 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557,579 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49,516 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109,184 </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628,460 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r>
      <w:tr>
        <w:trPr/>
        <w:tc>
          <w:tcPr>
            <w:tcW w:w="19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r>
      <w:tr>
        <w:trPr/>
        <w:tc>
          <w:tcPr>
            <w:tcW w:w="19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We have foreign currency exposure arising from certain of our Euro and Yen denominated intercompany debt. We have entered into foreign currency exchange hedging contracts associated with this intercompany debt to partially mitigate the impact of currency rate changes. They are not designated as cash flow or fair value hedges under Accounting Standards Codification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Changes in fair value are reported in current period earnings. These gains and losses are intended to offset the gains and losses recorded on the associated intercompany debt. We do not use derivative financial instruments for trading or speculation purposes.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April 3, 2026 and October 3, 2025, we had $53.0 million and $36.0 million, respectively, in notional forward foreign currency contracts. As of April 3, 2026 and October 3, 2025, the fair value of derivative instruments not designated as hedges was immaterial.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6. INVENTORIES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 (in thousands):</w:t>
      </w:r>
    </w:p>
    <w:tbl>
      <w:tblPr>
        <w:tblW w:w="3954" w:type="dxa"/>
        <w:jc w:val="left"/>
        <w:tblInd w:w="0" w:type="dxa"/>
        <w:tblLayout w:type="fixed"/>
        <w:tblCellMar>
          <w:top w:w="28" w:type="dxa"/>
          <w:left w:w="28" w:type="dxa"/>
          <w:bottom w:w="28" w:type="dxa"/>
          <w:right w:w="28" w:type="dxa"/>
        </w:tblCellMar>
      </w:tblPr>
      <w:tblGrid>
        <w:gridCol w:w="543"/>
        <w:gridCol w:w="477"/>
        <w:gridCol w:w="480"/>
        <w:gridCol w:w="196"/>
        <w:gridCol w:w="736"/>
        <w:gridCol w:w="109"/>
        <w:gridCol w:w="109"/>
        <w:gridCol w:w="109"/>
        <w:gridCol w:w="109"/>
        <w:gridCol w:w="196"/>
        <w:gridCol w:w="73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inventory,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7. PROPERTY AND EQUIPMENT</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 (in thousands):</w:t>
      </w:r>
    </w:p>
    <w:tbl>
      <w:tblPr>
        <w:tblW w:w="5933" w:type="dxa"/>
        <w:jc w:val="left"/>
        <w:tblInd w:w="0" w:type="dxa"/>
        <w:tblLayout w:type="fixed"/>
        <w:tblCellMar>
          <w:top w:w="28" w:type="dxa"/>
          <w:left w:w="28" w:type="dxa"/>
          <w:bottom w:w="28" w:type="dxa"/>
          <w:right w:w="28" w:type="dxa"/>
        </w:tblCellMar>
      </w:tblPr>
      <w:tblGrid>
        <w:gridCol w:w="1259"/>
        <w:gridCol w:w="1106"/>
        <w:gridCol w:w="1114"/>
        <w:gridCol w:w="196"/>
        <w:gridCol w:w="736"/>
        <w:gridCol w:w="109"/>
        <w:gridCol w:w="109"/>
        <w:gridCol w:w="109"/>
        <w:gridCol w:w="109"/>
        <w:gridCol w:w="196"/>
        <w:gridCol w:w="736"/>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process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August 2022, the U.S. government enacted the CHIPS and Science Act of 2022 (“CHIPS Act”), which provides funding for manufacturing grants and research investments and established a 25% investment tax credit </w:t>
      </w:r>
      <w:r>
        <w:rPr>
          <w:rFonts w:ascii="Times New Roman;serif" w:hAnsi="Times New Roman;serif"/>
          <w:b w:val="false"/>
          <w:color w:val="000000"/>
          <w:sz w:val="20"/>
          <w:shd w:fill="FFFFFF" w:val="clear"/>
        </w:rPr>
        <w:t xml:space="preserve">(“ITC”) </w:t>
      </w:r>
      <w:r>
        <w:rPr>
          <w:rFonts w:ascii="Times New Roman;serif" w:hAnsi="Times New Roman;serif"/>
          <w:b w:val="false"/>
          <w:color w:val="000000"/>
          <w:sz w:val="20"/>
        </w:rPr>
        <w:t>for certain qualifying investments in U.S. semiconductor manufacturing equipment. On July 4, 2025, the U.S. Congress passed a federal statute controlling tax and spending policies (the “July 4, 2025 Bill”). As part of the July 4, 2025 Bill, this ITC was increased to 35% for assets placed into service after December 31, 2025. We account for the investment tax credit as a reduction to the carrying value of the qualifying asset and record a corresponding receivable for expected tax credits in connection with the CHIPS Act. As of April 3, 2026 and October 3, 2025, there was an $8.0 million and $5.6 million reduction, respectively, to the gross carrying amounts of the qualifying assets in the condensed consolidated balance sheet.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related to property and equipment for the three and six months ended April 3, 2026 was $9.5 million and $18.7 million, respectively. Depreciation and amortization expense related to property and equipment for the three and six months ended April 4, 2025 was $7.4 million and $14.8 million, respectively. Accumulated amortization on finance lease assets as of April 3, 2026 and October 3, 2025 was $11.1 million and $10.3 million, respectively.</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8. INTANGIBLE ASSETS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is as follows (in thousands):</w:t>
      </w:r>
    </w:p>
    <w:tbl>
      <w:tblPr>
        <w:tblW w:w="7200" w:type="dxa"/>
        <w:jc w:val="center"/>
        <w:tblInd w:w="0" w:type="dxa"/>
        <w:tblLayout w:type="fixed"/>
        <w:tblCellMar>
          <w:top w:w="28" w:type="dxa"/>
          <w:left w:w="28" w:type="dxa"/>
          <w:bottom w:w="28" w:type="dxa"/>
          <w:right w:w="28" w:type="dxa"/>
        </w:tblCellMar>
      </w:tblPr>
      <w:tblGrid>
        <w:gridCol w:w="924"/>
        <w:gridCol w:w="811"/>
        <w:gridCol w:w="815"/>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activity in gross intangible assets as of April 3, 2026 and October 3, 2025 is as follows (in thousands):</w:t>
      </w:r>
    </w:p>
    <w:p>
      <w:pPr>
        <w:pStyle w:val="TextBody"/>
        <w:bidi w:val="0"/>
        <w:spacing w:before="0" w:after="20"/>
        <w:jc w:val="center"/>
        <w:rPr/>
      </w:pPr>
      <w:r>
        <w:rPr/>
      </w:r>
    </w:p>
    <w:tbl>
      <w:tblPr>
        <w:tblW w:w="9566" w:type="dxa"/>
        <w:jc w:val="center"/>
        <w:tblInd w:w="0" w:type="dxa"/>
        <w:tblLayout w:type="fixed"/>
        <w:tblCellMar>
          <w:top w:w="28" w:type="dxa"/>
          <w:left w:w="28" w:type="dxa"/>
          <w:bottom w:w="28" w:type="dxa"/>
          <w:right w:w="28" w:type="dxa"/>
        </w:tblCellMar>
      </w:tblPr>
      <w:tblGrid>
        <w:gridCol w:w="1123"/>
        <w:gridCol w:w="989"/>
        <w:gridCol w:w="992"/>
        <w:gridCol w:w="353"/>
        <w:gridCol w:w="1326"/>
        <w:gridCol w:w="196"/>
        <w:gridCol w:w="109"/>
        <w:gridCol w:w="109"/>
        <w:gridCol w:w="109"/>
        <w:gridCol w:w="419"/>
        <w:gridCol w:w="1415"/>
        <w:gridCol w:w="235"/>
        <w:gridCol w:w="109"/>
        <w:gridCol w:w="109"/>
        <w:gridCol w:w="109"/>
        <w:gridCol w:w="352"/>
        <w:gridCol w:w="1162"/>
        <w:gridCol w:w="196"/>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(18,086)</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(44,735)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licenses and licensed technology</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(11,104)</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Trade name </w:t>
            </w:r>
            <w:r>
              <w:rPr>
                <w:rFonts w:ascii="Times New Roman;serif" w:hAnsi="Times New Roman;serif"/>
                <w:b w:val="false"/>
                <w:color w:val="000000"/>
                <w:sz w:val="12"/>
              </w:rPr>
              <w:t xml:space="preserve">(1) </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April 3, 2026 </w:t>
            </w:r>
            <w:r>
              <w:rPr>
                <w:rFonts w:ascii="Times New Roman;serif" w:hAnsi="Times New Roman;serif"/>
                <w:b w:val="false"/>
                <w:color w:val="000000"/>
                <w:sz w:val="12"/>
              </w:rPr>
              <w:t>(2)</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142,108 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(74,728)</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67,380 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811" w:type="dxa"/>
        <w:jc w:val="center"/>
        <w:tblInd w:w="0" w:type="dxa"/>
        <w:tblLayout w:type="fixed"/>
        <w:tblCellMar>
          <w:top w:w="28" w:type="dxa"/>
          <w:left w:w="28" w:type="dxa"/>
          <w:bottom w:w="28" w:type="dxa"/>
          <w:right w:w="28" w:type="dxa"/>
        </w:tblCellMar>
      </w:tblPr>
      <w:tblGrid>
        <w:gridCol w:w="890"/>
        <w:gridCol w:w="783"/>
        <w:gridCol w:w="786"/>
        <w:gridCol w:w="353"/>
        <w:gridCol w:w="1326"/>
        <w:gridCol w:w="196"/>
        <w:gridCol w:w="109"/>
        <w:gridCol w:w="109"/>
        <w:gridCol w:w="109"/>
        <w:gridCol w:w="419"/>
        <w:gridCol w:w="1415"/>
        <w:gridCol w:w="235"/>
        <w:gridCol w:w="109"/>
        <w:gridCol w:w="109"/>
        <w:gridCol w:w="109"/>
        <w:gridCol w:w="345"/>
        <w:gridCol w:w="1138"/>
        <w:gridCol w:w="271"/>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(14,859)</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licenses</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(5,544)</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Trade name </w:t>
            </w:r>
            <w:r>
              <w:rPr>
                <w:rFonts w:ascii="Times New Roman;serif" w:hAnsi="Times New Roman;serif"/>
                <w:b w:val="false"/>
                <w:color w:val="000000"/>
                <w:sz w:val="12"/>
              </w:rPr>
              <w:t xml:space="preserve">(1) </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October 3, 2025 </w:t>
            </w:r>
            <w:r>
              <w:rPr>
                <w:rFonts w:ascii="Times New Roman;serif" w:hAnsi="Times New Roman;serif"/>
                <w:b w:val="false"/>
                <w:color w:val="000000"/>
                <w:sz w:val="12"/>
              </w:rPr>
              <w:t>(2)</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140,952 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(62,382)</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
        <w:jc w:val="both"/>
        <w:rPr>
          <w:rFonts w:ascii="Times New Roman;serif" w:hAnsi="Times New Roman;serif"/>
          <w:b w:val="false"/>
          <w:color w:val="000000"/>
          <w:sz w:val="18"/>
        </w:rPr>
      </w:pPr>
      <w:r>
        <w:rPr>
          <w:rFonts w:ascii="Times New Roman;serif" w:hAnsi="Times New Roman;serif"/>
          <w:b w:val="false"/>
          <w:color w:val="000000"/>
          <w:sz w:val="18"/>
        </w:rPr>
        <w:t>(1) Includes an indefinite-lived trade name of $3.4 million that is not amortized.</w:t>
      </w:r>
    </w:p>
    <w:p>
      <w:pPr>
        <w:pStyle w:val="TextBody"/>
        <w:bidi w:val="0"/>
        <w:spacing w:lineRule="auto" w:line="288" w:before="0" w:after="20"/>
        <w:jc w:val="left"/>
        <w:rPr/>
      </w:pPr>
      <w:r>
        <w:rPr>
          <w:rFonts w:ascii="Times New Roman;serif" w:hAnsi="Times New Roman;serif"/>
          <w:b w:val="false"/>
          <w:color w:val="000000"/>
          <w:sz w:val="18"/>
        </w:rPr>
        <w:t>(2) Foreign intangible asset carrying amounts include foreign currency translation adjustments.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April 3, 2026, our estimated amortization of our intangible assets in future fiscal years is as follows (in thousands):</w:t>
      </w:r>
    </w:p>
    <w:tbl>
      <w:tblPr>
        <w:tblW w:w="7773" w:type="dxa"/>
        <w:jc w:val="center"/>
        <w:tblInd w:w="0" w:type="dxa"/>
        <w:tblLayout w:type="fixed"/>
        <w:tblCellMar>
          <w:top w:w="28" w:type="dxa"/>
          <w:left w:w="28" w:type="dxa"/>
          <w:bottom w:w="28" w:type="dxa"/>
          <w:right w:w="28" w:type="dxa"/>
        </w:tblCellMar>
      </w:tblPr>
      <w:tblGrid>
        <w:gridCol w:w="603"/>
        <w:gridCol w:w="529"/>
        <w:gridCol w:w="532"/>
        <w:gridCol w:w="266"/>
        <w:gridCol w:w="876"/>
        <w:gridCol w:w="147"/>
        <w:gridCol w:w="323"/>
        <w:gridCol w:w="323"/>
        <w:gridCol w:w="156"/>
        <w:gridCol w:w="278"/>
        <w:gridCol w:w="278"/>
        <w:gridCol w:w="156"/>
        <w:gridCol w:w="278"/>
        <w:gridCol w:w="278"/>
        <w:gridCol w:w="156"/>
        <w:gridCol w:w="278"/>
        <w:gridCol w:w="278"/>
        <w:gridCol w:w="156"/>
        <w:gridCol w:w="295"/>
        <w:gridCol w:w="295"/>
        <w:gridCol w:w="296"/>
        <w:gridCol w:w="196"/>
        <w:gridCol w:w="64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Remaining</w:t>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changes in goodwill as of April 3, 2026 is as follows (in thousands):</w:t>
      </w:r>
    </w:p>
    <w:tbl>
      <w:tblPr>
        <w:tblW w:w="4119" w:type="dxa"/>
        <w:jc w:val="left"/>
        <w:tblInd w:w="0" w:type="dxa"/>
        <w:tblLayout w:type="fixed"/>
        <w:tblCellMar>
          <w:top w:w="28" w:type="dxa"/>
          <w:left w:w="28" w:type="dxa"/>
          <w:bottom w:w="28" w:type="dxa"/>
          <w:right w:w="28" w:type="dxa"/>
        </w:tblCellMar>
      </w:tblPr>
      <w:tblGrid>
        <w:gridCol w:w="1058"/>
        <w:gridCol w:w="930"/>
        <w:gridCol w:w="936"/>
        <w:gridCol w:w="196"/>
        <w:gridCol w:w="736"/>
        <w:gridCol w:w="109"/>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October 3,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Acquired </w:t>
            </w:r>
            <w:r>
              <w:rPr>
                <w:rFonts w:ascii="Times New Roman;serif" w:hAnsi="Times New Roman;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April 3, 2026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
        <w:jc w:val="both"/>
        <w:rPr/>
      </w:pPr>
      <w:r>
        <w:rPr>
          <w:rFonts w:ascii="Times New Roman;serif" w:hAnsi="Times New Roman;serif"/>
          <w:b w:val="false"/>
          <w:color w:val="000000"/>
          <w:sz w:val="18"/>
        </w:rPr>
        <w:t xml:space="preserve">(1) </w:t>
      </w:r>
      <w:r>
        <w:rPr>
          <w:rFonts w:ascii="Times New Roman;serif" w:hAnsi="Times New Roman;serif"/>
          <w:b w:val="false"/>
          <w:color w:val="000000"/>
          <w:sz w:val="20"/>
        </w:rPr>
        <w:t xml:space="preserve">The acquired balance consists of an immaterial change related to the ENGIN-IC Acquisition. For additional information refer to </w:t>
      </w:r>
      <w:r>
        <w:rPr>
          <w:rFonts w:ascii="Times New Roman;serif" w:hAnsi="Times New Roman;serif"/>
          <w:b w:val="false"/>
          <w:i/>
          <w:color w:val="000000"/>
          <w:sz w:val="20"/>
        </w:rPr>
        <w:t>Note 3 - Acquisitions.</w:t>
      </w:r>
    </w:p>
    <w:p>
      <w:pPr>
        <w:pStyle w:val="TextBody"/>
        <w:bidi w:val="0"/>
        <w:spacing w:before="60" w:after="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9. ACCRUED LIABILITIES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liabilities consist of the following (in thousands):</w:t>
      </w:r>
    </w:p>
    <w:tbl>
      <w:tblPr>
        <w:tblW w:w="5831" w:type="dxa"/>
        <w:jc w:val="left"/>
        <w:tblInd w:w="0" w:type="dxa"/>
        <w:tblLayout w:type="fixed"/>
        <w:tblCellMar>
          <w:top w:w="28" w:type="dxa"/>
          <w:left w:w="28" w:type="dxa"/>
          <w:bottom w:w="28" w:type="dxa"/>
          <w:right w:w="28" w:type="dxa"/>
        </w:tblCellMar>
      </w:tblPr>
      <w:tblGrid>
        <w:gridCol w:w="1124"/>
        <w:gridCol w:w="988"/>
        <w:gridCol w:w="993"/>
        <w:gridCol w:w="219"/>
        <w:gridCol w:w="724"/>
        <w:gridCol w:w="122"/>
        <w:gridCol w:w="109"/>
        <w:gridCol w:w="109"/>
        <w:gridCol w:w="109"/>
        <w:gridCol w:w="262"/>
        <w:gridCol w:w="866"/>
        <w:gridCol w:w="206"/>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48,879 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48,236 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licenses and licensed technology</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liabilities</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86,904 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95,959 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10. DEBT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represents the outstanding balances and effective interest rates of our borrowings as of April 3, 2026 and October 3, 2025, (in thousands, except percentages):</w:t>
      </w:r>
    </w:p>
    <w:tbl>
      <w:tblPr>
        <w:tblW w:w="10205" w:type="dxa"/>
        <w:jc w:val="left"/>
        <w:tblInd w:w="0" w:type="dxa"/>
        <w:tblLayout w:type="fixed"/>
        <w:tblCellMar>
          <w:top w:w="28" w:type="dxa"/>
          <w:left w:w="28" w:type="dxa"/>
          <w:bottom w:w="28" w:type="dxa"/>
          <w:right w:w="28" w:type="dxa"/>
        </w:tblCellMar>
      </w:tblPr>
      <w:tblGrid>
        <w:gridCol w:w="1311"/>
        <w:gridCol w:w="1147"/>
        <w:gridCol w:w="1159"/>
        <w:gridCol w:w="259"/>
        <w:gridCol w:w="973"/>
        <w:gridCol w:w="143"/>
        <w:gridCol w:w="396"/>
        <w:gridCol w:w="395"/>
        <w:gridCol w:w="937"/>
        <w:gridCol w:w="109"/>
        <w:gridCol w:w="109"/>
        <w:gridCol w:w="109"/>
        <w:gridCol w:w="259"/>
        <w:gridCol w:w="973"/>
        <w:gridCol w:w="143"/>
        <w:gridCol w:w="362"/>
        <w:gridCol w:w="360"/>
        <w:gridCol w:w="1061"/>
      </w:tblGrid>
      <w:tr>
        <w:trPr/>
        <w:tc>
          <w:tcPr>
            <w:tcW w:w="131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3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3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w:t>
            </w:r>
          </w:p>
        </w:tc>
        <w:tc>
          <w:tcPr>
            <w:tcW w:w="1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w:t>
            </w:r>
          </w:p>
        </w:tc>
        <w:tc>
          <w:tcPr>
            <w:tcW w:w="17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Interest Rate</w:t>
            </w:r>
          </w:p>
        </w:tc>
      </w:tr>
      <w:tr>
        <w:trPr/>
        <w:tc>
          <w:tcPr>
            <w:tcW w:w="361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r>
      <w:tr>
        <w:trPr/>
        <w:tc>
          <w:tcPr>
            <w:tcW w:w="3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0.25% convertible notes due March 2026</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161,151 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0.00% convertible notes due December 2029</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amount outstanding</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344,316 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505,467 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Short-term debt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160,946 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r>
      <w:tr>
        <w:trPr/>
        <w:tc>
          <w:tcPr>
            <w:tcW w:w="3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discount on deferred financing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340,186 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339,630 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2026 Convertible Notes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25, 2021, we issued 0.25% convertible senior notes due in fiscal year 2026, pursuant to an indenture dated as of such date (the “2021 Indenture”), between the Company and U.S. Bank National Association, as trustee, with an aggregate principal amount of $400.0 million (the “Initial Notes”), and on April 6, 2021, we issued an additional $50.0 million aggregate principal amount (the “Additional Notes”) (together, the “2026 Convertible Notes”). The Additional Notes were issued and sold to the initial purchaser of the Initial Notes, pursuant to the option to purchase the Additional Notes granted by the Company to the initial purchaser and have the same terms as the Initial Notes.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On December 12, 2024, we entered into separate, privately negotiated exchange and subscription agreements (the “Exchange and Subscription Agreements”) with a limited number of holders of the 2026 Convertible Notes. Under the terms of the Exchange and Subscription Agreements, the holders exchanged $288.8 million in aggregate principal amount of 2026 Convertible Notes held by them for $257.7 million of our 2029 Convertible Notes (defined below), 1,582,958 newly-issued shares of the Company’s common stock, par value $0.001 per share, issued at a fair value of $205.9 million, and $17.6 million in cash. These exchanges resulted in aggregate pre-tax debt extinguishment charges of $193.1 million. The Company also issued approximately $86.6 million in additional aggregate principal amount of the 2029 Convertible Notes in a private placement to certain investors (the “Subscription” and, together with the Exchange, the “Transactions”). The Transactions closed on December 19, 2024. </w:t>
      </w:r>
      <w:r>
        <w:rPr>
          <w:rFonts w:ascii="Times New Roman;serif" w:hAnsi="Times New Roman;serif"/>
          <w:b w:val="false"/>
          <w:color w:val="000000"/>
          <w:sz w:val="20"/>
          <w:shd w:fill="FFFFFF" w:val="clear"/>
        </w:rPr>
        <w:t>Following the closing of the Transactions</w:t>
      </w:r>
      <w:r>
        <w:rPr>
          <w:rFonts w:ascii="Times New Roman;serif" w:hAnsi="Times New Roman;serif"/>
          <w:b w:val="false"/>
          <w:color w:val="000000"/>
          <w:sz w:val="20"/>
        </w:rPr>
        <w:t>, the aggregate principal balance of the 2026 Convertible Notes was $161.2 million and the terms of the 2021 Indenture were unchanged.</w:t>
      </w:r>
    </w:p>
    <w:p>
      <w:pPr>
        <w:pStyle w:val="TextBody"/>
        <w:bidi w:val="0"/>
        <w:spacing w:lineRule="auto" w:line="288" w:before="120" w:after="283"/>
        <w:ind w:left="0" w:right="0" w:firstLine="360"/>
        <w:jc w:val="both"/>
        <w:rPr/>
      </w:pPr>
      <w:r>
        <w:rPr>
          <w:rFonts w:ascii="Times New Roman;serif" w:hAnsi="Times New Roman;serif"/>
          <w:b w:val="false"/>
          <w:color w:val="000000"/>
          <w:sz w:val="20"/>
        </w:rPr>
        <w:t>In September 2025, certain holders exercised their right to convert $0.5 million of the notes. The transaction settled during the first fiscal quarter of 2026 and we paid $0.5 million principal in cash and issued 2,610 shares of our common stock for the conversion premium, par value $0.001 per share, issued at a fair value of $0.5 million. On March 16, 2026, pursuant to the terms of the 2021 Indenture, we settled the remaining 2026 Convertible Notes and paid the total outstanding principal balance of $160.7 million in cash and issued 1,259,111 shares of our common stock for the conversion premium, par value $0.001 per share, issued at a fair value of $283.2 million. There was no gain or loss recognized for these transactions in our condensed consolidated statement of operations and there was an immaterial amount recognized in additional paid-in capital in our condensed consolidated balance sheets for these transactions.</w:t>
      </w:r>
      <w:r>
        <w:rPr>
          <w:color w:val="000000"/>
        </w:rPr>
        <w:t xml:space="preserve">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For the three and six months ended April 3, 2026, total interest expense for the 2026 Convertible Notes was $0.2 million and $0.4 million, respectively, of which $0.1 million and $0.2 million, respectively, was for coupon interest. For the three and six months ended April 4, 2025, total interest expense for the 2026 Convertible Notes was $0.5 million and $1.1 million, respectively, of which $0.1 million and $0.4 million, respectively, was for coupon interest.</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our 2026 Convertible Notes was $251.6 million as of October 3, 2025 and was determined based on quoted prices in markets that are not active, which is considered a Level 2 valuation input.</w:t>
      </w:r>
    </w:p>
    <w:p>
      <w:pPr>
        <w:pStyle w:val="TextBody"/>
        <w:bidi w:val="0"/>
        <w:spacing w:lineRule="auto" w:line="288" w:before="12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2029 Convertible Notes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December 19, 2024, we issued 0.00% convertible senior notes due in fiscal year 2030, pursuant to an indenture dated as of such date (the “2024 Indenture”), between the Company and U.S. Bank National Association, as trustee with an aggregate principal amount of $344.3 million (the “2029 Convertible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Holders of the 2029 Convertible Notes may convert their notes at their option at any time prior to the close of business on the business day immediately preceding September 15, 2029 in multiples of $1,000 principal amount, only under the following circumstances: (i) during any fiscal quarter commencing after the fiscal quarter ending on April 4, 2025 (and only during such fiscal quarter), if the last reported sale price of our common stock for at least 20 trading days (whether or not consecutive) during a period of 30 consecutive trading days ending on the last trading day of the immediately preceding fiscal quarter is greater than or equal to 130% of the conversion price for the notes on each applicable trading day; (ii) during the five business day period after any five consecutive trading day period (the “Measurement Period”) in which the “trading price” (as defined in the 2024 Indenture) per $1,000 principal amount of the notes for each trading day of the Measurement Period was less than 98% of the product of the last reported sale price of our common stock and the conversion rate for the notes on each such trading day; (iii) if we call such notes for redemption, at any time prior to the close of business on the second scheduled trading day immediately preceding the redemption date; or (iv) upon the occurrence of specified corporate events described in the 2024 Indenture. On or after September 15, 2029 until the close of business on the second scheduled trading day immediately preceding the maturity date, the holders may convert their notes, in multiples of $1,000 principal amount, regardless of the foregoing circumstances.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initial conversion rate for the 2029 Convertible Notes is 5.7463 shares of common stock (subject to adjustment as provided for in the 2024 Indenture) per $1,000 principal amount of the notes, which is equal to an initial conversion price of approximately $174.03 per share of common stock.</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The 2029 Convertible Notes do not bear regular interest, and the principal amount of the notes does not accrete. The notes are senior unsecured obligations of the Company and will mature on December 15, 2029, unless earlier redeemed, repurchased or converted. Upon conversion of the 2029 Convertible Notes, we are required to pay cash up to the aggregate principal amount of the notes to be converted and pay or deliver, as the case may be, cash, shares of our common stock or a combination of cash and shares of our common stock, at our election, in respect of the remainder, if any, of our conversion obligation in excess of the aggregate principal amount of the notes being converted (subject to, and in accordance with, the settlement provisions of the 2024 Indenture). We must notify the holders of the 2029 Convertible Notes of our settlement method for our conversion obligation in excess of the aggregate principal amount no later than September 15, 2029, for conversions occurring on or after that date. We may redeem for cash all or any portion of the notes, at our option, </w:t>
      </w:r>
      <w:r>
        <w:rPr>
          <w:rFonts w:ascii="Times New Roman;serif" w:hAnsi="Times New Roman;serif"/>
          <w:b w:val="false"/>
          <w:color w:val="000000"/>
          <w:sz w:val="20"/>
        </w:rPr>
        <w:t>on or after December 20, 2027 and prior to September 15, 2029 if</w:t>
      </w:r>
      <w:r>
        <w:rPr>
          <w:color w:val="000000"/>
          <w:shd w:fill="FFFFFF" w:val="clear"/>
        </w:rPr>
        <w:t xml:space="preserve"> </w:t>
      </w:r>
      <w:r>
        <w:rPr>
          <w:rFonts w:ascii="Times New Roman;serif" w:hAnsi="Times New Roman;serif"/>
          <w:b w:val="false"/>
          <w:color w:val="000000"/>
          <w:sz w:val="20"/>
          <w:shd w:fill="FFFFFF" w:val="clear"/>
        </w:rPr>
        <w:t xml:space="preserve">the last reported sale price per share of our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at a redemption price equal to 100% of the principal amount of the notes to be redeemed, plus accrued and unpaid interest, to, but not including, the redemption date. </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2024 Indenture does not contain any financial or operating covenants or restrictions on the payments of dividends, the making of investments, the incurrence of indebtedness or the purchase or prepayment of securities by us or any of our subsidiaries.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April 3, 2026, total interest expense for the 2029 Convertible Notes was $0.3 million and $0.6 million, respectively, which represents amortization of issuance costs. For the three and six months ended April 4, 2025, total interest expense for the 2029 Convertible Notes was $0.3 million and $0.3 million, respectively, which represents amortization of issuance costs.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 xml:space="preserve">fair value of our 2029 Convertible Notes was </w:t>
      </w:r>
      <w:r>
        <w:rPr>
          <w:rFonts w:ascii="Times New Roman;serif" w:hAnsi="Times New Roman;serif"/>
          <w:b w:val="false"/>
          <w:color w:val="000000"/>
          <w:sz w:val="20"/>
        </w:rPr>
        <w:t xml:space="preserve">$514.7 million and $353.3 million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 xml:space="preserve">April 3, 2026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October 3, 2025, respectively. The fair value </w:t>
      </w:r>
      <w:r>
        <w:rPr>
          <w:rFonts w:ascii="Times New Roman;serif" w:hAnsi="Times New Roman;serif"/>
          <w:b w:val="false"/>
          <w:color w:val="000000"/>
          <w:sz w:val="20"/>
          <w:shd w:fill="FFFFFF" w:val="clear"/>
        </w:rPr>
        <w:t>was determined based on quoted prices in markets that are not active, which is considered a Level 2 valuation input.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full principal amount of the 2029 Convertible Notes of $344.3 million is due on December 15, 2029.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color w:val="000000"/>
          <w:sz w:val="20"/>
        </w:rPr>
        <w:t>11. F</w:t>
      </w:r>
      <w:r>
        <w:rPr>
          <w:rFonts w:ascii="Times New Roman;serif" w:hAnsi="Times New Roman;serif"/>
          <w:b/>
          <w:color w:val="000000"/>
          <w:sz w:val="20"/>
          <w:shd w:fill="FFFFFF" w:val="clear"/>
        </w:rPr>
        <w:t>INANCING OBLIGATIONS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We are party to a power purchase agreement for the use of electric power and thermal energy producing systems at our fabrication facility in Lowell, Massachusetts. </w:t>
      </w:r>
      <w:r>
        <w:rPr>
          <w:rFonts w:ascii="Times New Roman;serif" w:hAnsi="Times New Roman;serif"/>
          <w:b w:val="false"/>
          <w:color w:val="000000"/>
          <w:sz w:val="20"/>
          <w:shd w:fill="FFFFFF" w:val="clear"/>
        </w:rPr>
        <w:t xml:space="preserve">We do not own these systems; however, we control the use of the assets during operation. As of April 3, 2026 and </w:t>
      </w:r>
      <w:r>
        <w:rPr>
          <w:rFonts w:ascii="Times New Roman;serif" w:hAnsi="Times New Roman;serif"/>
          <w:b w:val="false"/>
          <w:color w:val="000000"/>
          <w:sz w:val="20"/>
        </w:rPr>
        <w:t>October 3, 2025</w:t>
      </w:r>
      <w:r>
        <w:rPr>
          <w:rFonts w:ascii="Times New Roman;serif" w:hAnsi="Times New Roman;serif"/>
          <w:b w:val="false"/>
          <w:color w:val="000000"/>
          <w:sz w:val="20"/>
          <w:shd w:fill="FFFFFF" w:val="clear"/>
        </w:rPr>
        <w:t>, the net book value of the systems in Property and equipment, net was $7.2 million and $7.5 million, respectively, and the corresponding liability was $8.8 million and $9.0 million, respectively, primarily classified in Financing obligation on our condensed consolidated balance sheet.</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Sale-Leaseback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lease for the wafer fabrication facility in Research Triangle Park (“RTP”), North Carolina (the “RTP Fab”) is considered a failed sale-leaseback for accounting purposes. Accordingly, we recognize this transaction as a financing arrangement. As of April 3, 2026 and October 3, 2025, the net book value of the land and building in Property and equipment, net was $28.3 million and $28.6 million, respectively, and the corresponding liability was $28.4 million and $28.5 million, respectively, primarily classified in Financing obligation on our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for basic and diluted net income (loss) per share of common stock (in thousands, except per share data):</w:t>
      </w:r>
    </w:p>
    <w:tbl>
      <w:tblPr>
        <w:tblW w:w="10205" w:type="dxa"/>
        <w:jc w:val="center"/>
        <w:tblInd w:w="0" w:type="dxa"/>
        <w:tblLayout w:type="fixed"/>
        <w:tblCellMar>
          <w:top w:w="28" w:type="dxa"/>
          <w:left w:w="28" w:type="dxa"/>
          <w:bottom w:w="28" w:type="dxa"/>
          <w:right w:w="28" w:type="dxa"/>
        </w:tblCellMar>
      </w:tblPr>
      <w:tblGrid>
        <w:gridCol w:w="1581"/>
        <w:gridCol w:w="1066"/>
        <w:gridCol w:w="1058"/>
        <w:gridCol w:w="261"/>
        <w:gridCol w:w="863"/>
        <w:gridCol w:w="145"/>
        <w:gridCol w:w="139"/>
        <w:gridCol w:w="139"/>
        <w:gridCol w:w="139"/>
        <w:gridCol w:w="261"/>
        <w:gridCol w:w="863"/>
        <w:gridCol w:w="145"/>
        <w:gridCol w:w="139"/>
        <w:gridCol w:w="139"/>
        <w:gridCol w:w="139"/>
        <w:gridCol w:w="261"/>
        <w:gridCol w:w="863"/>
        <w:gridCol w:w="145"/>
        <w:gridCol w:w="139"/>
        <w:gridCol w:w="139"/>
        <w:gridCol w:w="139"/>
        <w:gridCol w:w="250"/>
        <w:gridCol w:w="988"/>
        <w:gridCol w:w="204"/>
      </w:tblGrid>
      <w:tr>
        <w:trPr/>
        <w:tc>
          <w:tcPr>
            <w:tcW w:w="158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 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 2025</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95,098 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(135,864)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outstanding-basic</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75,283 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stock options, restricted stock and restricted stock units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convertible notes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outstanding-diluted</w:t>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75,741 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77,137 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to common stockholders per share-basic:</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to common stockholders per share-diluted:</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 excluded the following potential common shares, presented based on amounts outstanding at each period end, from the computation of diluted net income (loss) per share attributable to common stockholders for the periods indicated because including them would have had an anti-dilutive effect:</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Anti-dilutive shares excluded related to:</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stock options, restricted stock and restricted stock units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we may be subject to commercial disputes, employment issues, claims by other companies in the industry that we have infringed their intellectual property rights and other similar claims and litigation. Any such claims may lead to future litigation and material damages and defense costs. We were not involved in any material pending legal proceedings during the three and six months ended April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14. STOCKHOLDERS’ EQUITY AND SHARE-BASED COMPENSATION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authorized 10 million shares of $0.001 par value preferred stock and 300 million shares of $0.001 par value common stock as of April 3, 2026.</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Stock Plans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April 3, 2026, we had approximately 2.5 million shares available for issuance under our 2021 Omnibus Incentive Plan (the “2021 Plan”) and approximately 1.0 million shares available for issuance under our 2021 Employee Stock Purchase Plan (the “Employee Stock Purchase Plan”). Under the 2021 Plan, we have the ability to issue incentive stock options (“ISOs”), non-statutory stock options (“NSOs”), stock appreciation rights (“SARs”), restricted stock awards (“RSAs”), unrestricted stock awards, stock units (including restricted stock units (“RSUs”) and performance-based restricted stock units (“PRSUs”)), performance awards, cash awards, and other share-based awards to employees, directors, consultants and advisors. The ISOs and NSOs must be granted at an exercise price, and the SARs must be granted at a base value, per share of not less than 100% of the closing price of a share of our common stock on the date of grant (or, if no closing price is reported on that date, the closing price on the immediately preceding date on which a closing price was reported) (110% in the case of certain ISOs). Certain of the share-based awards granted and outstanding as of April 3, 2026 are subject to accelerated vesting upon a change in control of the Company.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Incentive Stock Units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Aside from the equity plans described above, we also grant incentive stock units (“ISUs”) to certain of our international employees which typically vest over three years and for which the fair value is determined by our underlying stock price, which are classified as liabilities and settled in cash upon vesting.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As of April 3, 2026 and October 3, 2025, the fair value of outstanding ISUs was $7.7 million and $5.1 million, respectively, and the associated accrued compensation liability was $4.1 million and $3.7 million, respectively. During the three and six months ended April 3, 2026, we recorded an expense for ISU awards of $1.7 million and $3.2 million, respectively. During the three and six months ended April 4, 2025, we recorded</w:t>
      </w:r>
      <w:r>
        <w:rPr>
          <w:color w:val="000000"/>
          <w:shd w:fill="FFFFFF" w:val="clear"/>
        </w:rPr>
        <w:t xml:space="preserve"> </w:t>
      </w:r>
      <w:r>
        <w:rPr>
          <w:rFonts w:ascii="Times New Roman;serif" w:hAnsi="Times New Roman;serif"/>
          <w:b w:val="false"/>
          <w:color w:val="000000"/>
          <w:sz w:val="20"/>
          <w:shd w:fill="FFFFFF" w:val="clear"/>
        </w:rPr>
        <w:t>a benefit</w:t>
      </w:r>
      <w:r>
        <w:rPr>
          <w:color w:val="000000"/>
        </w:rPr>
        <w:t xml:space="preserve"> </w:t>
      </w:r>
      <w:r>
        <w:rPr>
          <w:rFonts w:ascii="Times New Roman;serif" w:hAnsi="Times New Roman;serif"/>
          <w:b w:val="false"/>
          <w:color w:val="000000"/>
          <w:sz w:val="20"/>
        </w:rPr>
        <w:t>for ISU awards of $0.3 million and an expense of $1.2 million, respectively. These expenses are not included in the share-based compensation expense totals below.</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Share-Based Compensation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summary of share-based compensation expense included in the condensed consolidated statements of operations (in thousands):</w:t>
      </w:r>
    </w:p>
    <w:tbl>
      <w:tblPr>
        <w:tblW w:w="7874" w:type="dxa"/>
        <w:jc w:val="center"/>
        <w:tblInd w:w="0" w:type="dxa"/>
        <w:tblLayout w:type="fixed"/>
        <w:tblCellMar>
          <w:top w:w="28" w:type="dxa"/>
          <w:left w:w="28" w:type="dxa"/>
          <w:bottom w:w="28" w:type="dxa"/>
          <w:right w:w="28" w:type="dxa"/>
        </w:tblCellMar>
      </w:tblPr>
      <w:tblGrid>
        <w:gridCol w:w="1103"/>
        <w:gridCol w:w="968"/>
        <w:gridCol w:w="97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share-based compensation expense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April 3, 2026, the total unrecognized compensation costs related to RSUs and PRSUs was $137.0 million, which we expect to recognize over a weighted-average period of 2.0 years. As of April 3, 2026, total unrecognized compensation cost related to our Employee Stock Purchase Plan was $0.5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Restricted Stock Units and Performance-Based Restricted Stock Units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RSU and PRSU activity for the six months ended April 3, 2026 is as follows:</w:t>
      </w:r>
    </w:p>
    <w:tbl>
      <w:tblPr>
        <w:tblW w:w="6040" w:type="dxa"/>
        <w:jc w:val="left"/>
        <w:tblInd w:w="0" w:type="dxa"/>
        <w:tblLayout w:type="fixed"/>
        <w:tblCellMar>
          <w:top w:w="28" w:type="dxa"/>
          <w:left w:w="28" w:type="dxa"/>
          <w:bottom w:w="28" w:type="dxa"/>
          <w:right w:w="28" w:type="dxa"/>
        </w:tblCellMar>
      </w:tblPr>
      <w:tblGrid>
        <w:gridCol w:w="911"/>
        <w:gridCol w:w="801"/>
        <w:gridCol w:w="808"/>
        <w:gridCol w:w="459"/>
        <w:gridCol w:w="459"/>
        <w:gridCol w:w="461"/>
        <w:gridCol w:w="109"/>
        <w:gridCol w:w="109"/>
        <w:gridCol w:w="109"/>
        <w:gridCol w:w="357"/>
        <w:gridCol w:w="1177"/>
        <w:gridCol w:w="280"/>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Balance as of October 3, 2025</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97.19 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Performance-based adjustment </w:t>
            </w:r>
            <w:r>
              <w:rPr>
                <w:rFonts w:ascii="Times New Roman;serif" w:hAnsi="Times New Roman;serif"/>
                <w:b w:val="false"/>
                <w:color w:val="000000"/>
                <w:sz w:val="12"/>
              </w:rPr>
              <w:t xml:space="preserve">(1) </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and released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canceled or expired</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April 3, 2026</w:t>
            </w:r>
          </w:p>
        </w:tc>
        <w:tc>
          <w:tcPr>
            <w:tcW w:w="9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pPr>
      <w:r>
        <w:rPr>
          <w:rFonts w:ascii="Times New Roman;serif" w:hAnsi="Times New Roman;serif"/>
          <w:b w:val="false"/>
          <w:color w:val="000000"/>
          <w:sz w:val="20"/>
        </w:rPr>
        <w:t xml:space="preserve">(1) The amount shown represents performance adjustments for </w:t>
      </w:r>
      <w:r>
        <w:rPr>
          <w:rFonts w:ascii="Times New Roman;serif" w:hAnsi="Times New Roman;serif"/>
          <w:b w:val="false"/>
          <w:color w:val="000000"/>
          <w:sz w:val="20"/>
          <w:shd w:fill="FFFFFF" w:val="clear"/>
        </w:rPr>
        <w:t>performance-based awards. These were granted in prior fiscal years and vested during the six months ended April 3, 2026 based on the Company’s achievement of adjusted earnings per share and total shareholder return performance conditions.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 awards that vested during the six months ended April 3, 2026 and April 4, 2025 had combined fair values of $134.1 million and $112.9 million, respectively, as of the vesting date. RSUs granted generally vest over a period of three years.</w:t>
      </w: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Market-based PRSUs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granted 107,977 market-based PRSUs during the six months ended April 3, 2026, at a weighted average grant date fair value of $215.59 per share. Recipients may earn between 0% and 200% of the target number of shares based on the Company’s achievement of total stockholder return in comparison to a peer group of companies in the PHLX Semiconductor Sector Index (^SOX) over a period of approximately three years. The fair value of the awards was estimated using a Monte Carlo simulation and compensation expense is recognized ratably over the service period based on the grant date fair value of the awards subject to the market condition. The expected volatility of the Company’s common stock was estimated based on the historical average volatility rate over the three-year period. The dividend yield assumption was based on historical and anticipated dividend payouts. The risk-free rate assumption was based on observed interest rates consistent with the three-year measurement period.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assumptions used to value the market-based PRSU awards are as follows:</w:t>
      </w:r>
    </w:p>
    <w:tbl>
      <w:tblPr>
        <w:tblW w:w="6299" w:type="dxa"/>
        <w:jc w:val="center"/>
        <w:tblInd w:w="0" w:type="dxa"/>
        <w:tblLayout w:type="fixed"/>
        <w:tblCellMar>
          <w:top w:w="28" w:type="dxa"/>
          <w:left w:w="28" w:type="dxa"/>
          <w:bottom w:w="28" w:type="dxa"/>
          <w:right w:w="28" w:type="dxa"/>
        </w:tblCellMar>
      </w:tblPr>
      <w:tblGrid>
        <w:gridCol w:w="1757"/>
        <w:gridCol w:w="1541"/>
        <w:gridCol w:w="1547"/>
        <w:gridCol w:w="621"/>
        <w:gridCol w:w="345"/>
        <w:gridCol w:w="488"/>
      </w:tblGrid>
      <w:tr>
        <w:trPr/>
        <w:tc>
          <w:tcPr>
            <w:tcW w:w="1757"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grant date stock price</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151.20</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stock price at the start of the performance period</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128.76</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risk free interest rate</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years to maturity</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expected volatility rate</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expected dividend yield</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15. 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 in the U.S. as well as other tax jurisdictions in which we conduct business. Earnings from non-U.S. activities are subject to local country income tax and may also be subject to U.S. income tax. For interim periods, we record a tax provision or benefit based upon the estimated effective tax rate expected for the full fiscal year, adjusted for material discrete taxation matters arising during the interim periods. Our quarterly tax provision or benefit, and our quarterly estimate of the annual effective tax rate, are subject to significant variation due to several factors. These factors include items such as variability in accurately predicting pre-tax income/loss, the mix of income in jurisdictions in which we operate, intercompany transactions, changes in how we do business, tax law developments, including, but not limited to, impacts associated with the July 4, 2025 Bill, the realizability of our deferred tax assets, any related valuation allowance and relative changes in permanent tax benefits or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and effective income tax rate are as follows (in thousands, except percentages):</w:t>
      </w:r>
    </w:p>
    <w:tbl>
      <w:tblPr>
        <w:tblW w:w="7097" w:type="dxa"/>
        <w:jc w:val="center"/>
        <w:tblInd w:w="0" w:type="dxa"/>
        <w:tblLayout w:type="fixed"/>
        <w:tblCellMar>
          <w:top w:w="28" w:type="dxa"/>
          <w:left w:w="28" w:type="dxa"/>
          <w:bottom w:w="28" w:type="dxa"/>
          <w:right w:w="28" w:type="dxa"/>
        </w:tblCellMar>
      </w:tblPr>
      <w:tblGrid>
        <w:gridCol w:w="673"/>
        <w:gridCol w:w="592"/>
        <w:gridCol w:w="594"/>
        <w:gridCol w:w="196"/>
        <w:gridCol w:w="646"/>
        <w:gridCol w:w="256"/>
        <w:gridCol w:w="109"/>
        <w:gridCol w:w="109"/>
        <w:gridCol w:w="109"/>
        <w:gridCol w:w="196"/>
        <w:gridCol w:w="556"/>
        <w:gridCol w:w="256"/>
        <w:gridCol w:w="109"/>
        <w:gridCol w:w="109"/>
        <w:gridCol w:w="109"/>
        <w:gridCol w:w="196"/>
        <w:gridCol w:w="646"/>
        <w:gridCol w:w="256"/>
        <w:gridCol w:w="109"/>
        <w:gridCol w:w="109"/>
        <w:gridCol w:w="109"/>
        <w:gridCol w:w="196"/>
        <w:gridCol w:w="556"/>
        <w:gridCol w:w="301"/>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rate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difference between the U.S. federal statutory income tax rate of 21% and our effective income tax rate for the six months ended April 3, 2026 was primarily driven by favorable discrete items related to share-based compensation and our research and development (“R&amp;D”) tax credits. The difference between the U.S. federal statutory income tax rate of 21% and our effective income tax rate for the six months ended April 4, 2025 was primarily driven by the non-deductibility of our loss on extinguishment of debt, favorable discrete items related to stock-based compensation and our R&amp;D tax credits.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deferred tax assets to the extent that we believe that these assets are more likely than not to be realized. In making this determination, we consider available positive and negative evidence. We look at factors that may impact the valuation of our deferred tax assets including results of recent operations, future reversals of existing taxable temporary differences, projected future taxable income and tax-planning strategies. </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The July 4, 2025 Bill</w:t>
      </w:r>
      <w:r>
        <w:rPr>
          <w:color w:val="000000"/>
        </w:rPr>
        <w:t xml:space="preserve"> </w:t>
      </w:r>
      <w:r>
        <w:rPr>
          <w:rFonts w:ascii="Times New Roman;serif" w:hAnsi="Times New Roman;serif"/>
          <w:b w:val="false"/>
          <w:color w:val="000000"/>
          <w:sz w:val="20"/>
        </w:rPr>
        <w:t>permits d</w:t>
      </w:r>
      <w:r>
        <w:rPr>
          <w:rFonts w:ascii="Times New Roman;serif" w:hAnsi="Times New Roman;serif"/>
          <w:b w:val="false"/>
          <w:color w:val="000000"/>
          <w:sz w:val="20"/>
          <w:shd w:fill="FFFFFF" w:val="clear"/>
        </w:rPr>
        <w:t xml:space="preserve">eduction of applicable domestic research and development costs in the year they are incurred and no longer requires the deferral and amortization of these costs over five years, among other changes. This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is effective beginning in our fiscal year ending October 2, 2026. The July 4, 2025 Bill permits the acceleration of our unamortized balance of domestic research and development expenses which were previously deferred.</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There were no unrecognized tax benefits as of April 3, 2026 and October 3, 2025. It is our policy to recognize any interest and penalties accrued related to unrecognized tax benefits in income tax expense. During the fiscal quarters ended April 3, 2026 and </w:t>
      </w:r>
      <w:r>
        <w:rPr>
          <w:rFonts w:ascii="Times New Roman;serif" w:hAnsi="Times New Roman;serif"/>
          <w:b w:val="false"/>
          <w:color w:val="000000"/>
          <w:sz w:val="20"/>
        </w:rPr>
        <w:t>April 4, 2025</w:t>
      </w:r>
      <w:r>
        <w:rPr>
          <w:rFonts w:ascii="Times New Roman;serif" w:hAnsi="Times New Roman;serif"/>
          <w:b w:val="false"/>
          <w:color w:val="000000"/>
          <w:sz w:val="20"/>
          <w:shd w:fill="FFFFFF" w:val="clear"/>
        </w:rPr>
        <w:t>, we did not make any accrual or payment of interest or penalties.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16. SUPPLEMENTAL CASH FLOW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supplemental cash flow information for the periods presented (in thousands):</w:t>
      </w:r>
    </w:p>
    <w:tbl>
      <w:tblPr>
        <w:tblW w:w="8213" w:type="dxa"/>
        <w:jc w:val="left"/>
        <w:tblInd w:w="0" w:type="dxa"/>
        <w:tblLayout w:type="fixed"/>
        <w:tblCellMar>
          <w:top w:w="28" w:type="dxa"/>
          <w:left w:w="28" w:type="dxa"/>
          <w:bottom w:w="28" w:type="dxa"/>
          <w:right w:w="28" w:type="dxa"/>
        </w:tblCellMar>
      </w:tblPr>
      <w:tblGrid>
        <w:gridCol w:w="2081"/>
        <w:gridCol w:w="1836"/>
        <w:gridCol w:w="1842"/>
        <w:gridCol w:w="196"/>
        <w:gridCol w:w="736"/>
        <w:gridCol w:w="109"/>
        <w:gridCol w:w="109"/>
        <w:gridCol w:w="109"/>
        <w:gridCol w:w="109"/>
        <w:gridCol w:w="196"/>
        <w:gridCol w:w="736"/>
        <w:gridCol w:w="154"/>
      </w:tblGrid>
      <w:tr>
        <w:trPr/>
        <w:tc>
          <w:tcPr>
            <w:tcW w:w="2081"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convertible note exchange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settlement of convertible notes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new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assets obtained in exchange for new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and equipment, net included in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software licenses and licensed technology included in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17. SEGMENT REPORTING, GEOGRAPHIC AND SIGNIFICANT CUSTOMER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one reportable operating segment that designs, develops, manufactures and markets semiconductors and modules. The determination of the number of reportable operating segments is based on the chief operating decision maker’s (“CODM”) use of financial information provided for the purposes of assessing performance and making operating decisions. The Company's CODM is its President and Chief Executive Officer and Chair of the Board. In evaluating financial performance and making operating decisions, the CODM primarily uses consolidated metrics. The Company assesses its determination of operating segments at least annually. We continue to evaluate our internal reporting structure, changes to our business and the potential impact of these changes on our segment reporting. The accounting policies of the single operating segment are the same as those described in the summary of significant account policies.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CODM uses consolidated gross profit and net income (loss) to assess financial performance against prior periods and our competitors, to decide how to allocate resources and to evaluate income generated from segment assets in deciding whether to reinvest profits into our operations or into other parts of the entity, such as for acquisitions or other investments. The measure of segment assets is reported on the balance sheet as total assets. Financial forecasts and budget to actual results used by the CODM to assess performance and allocate resources, as well as those used for strategic decisions related to headcount and capital expenditures are also reviewed on a consolidated basis. </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a summary of consolidated net income (loss) inclusive of significant segment expenses and other expense information provided to the CODM (in thousands):</w:t>
      </w:r>
    </w:p>
    <w:tbl>
      <w:tblPr>
        <w:tblW w:w="10149" w:type="dxa"/>
        <w:jc w:val="center"/>
        <w:tblInd w:w="0" w:type="dxa"/>
        <w:tblLayout w:type="fixed"/>
        <w:tblCellMar>
          <w:top w:w="28" w:type="dxa"/>
          <w:left w:w="28" w:type="dxa"/>
          <w:bottom w:w="28" w:type="dxa"/>
          <w:right w:w="28" w:type="dxa"/>
        </w:tblCellMar>
      </w:tblPr>
      <w:tblGrid>
        <w:gridCol w:w="1739"/>
        <w:gridCol w:w="1532"/>
        <w:gridCol w:w="1544"/>
        <w:gridCol w:w="200"/>
        <w:gridCol w:w="753"/>
        <w:gridCol w:w="111"/>
        <w:gridCol w:w="109"/>
        <w:gridCol w:w="109"/>
        <w:gridCol w:w="109"/>
        <w:gridCol w:w="200"/>
        <w:gridCol w:w="753"/>
        <w:gridCol w:w="111"/>
        <w:gridCol w:w="109"/>
        <w:gridCol w:w="109"/>
        <w:gridCol w:w="109"/>
        <w:gridCol w:w="200"/>
        <w:gridCol w:w="753"/>
        <w:gridCol w:w="111"/>
        <w:gridCol w:w="109"/>
        <w:gridCol w:w="109"/>
        <w:gridCol w:w="109"/>
        <w:gridCol w:w="196"/>
        <w:gridCol w:w="811"/>
        <w:gridCol w:w="154"/>
      </w:tblGrid>
      <w:tr>
        <w:trPr/>
        <w:tc>
          <w:tcPr>
            <w:tcW w:w="173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 2025</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235,887 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(1)</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(1)</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(1)</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including cash incentive stock units (2)</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(3)</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integration-related costs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net of interest expense</w:t>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95,098 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(135,864)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Excludes share-based compensation including cash incentive stock units, amortization expense and acquisition- and integration-related costs.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Includes share-based compensation expense for awards that are equity and liability classified on our balance sheet and the related employer tax expense at vesting.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Relates to acquired intangible assets and excludes amortization for purchased software licenses and licensed technology.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expense information is based on management’s internal view of expense classification when reviewing aspects of financial and operating performance of the business, and may not be representative of expense classification that is comparable to other peer companies’ internal management views. As a result, this expense information should not be considered in isolation or as substitute for analysis of the Company’s results in conjunction with the accompanying condensed consolidated financial statements and notes thereto.</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Geographic and Significant Customer Information</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For information about our revenue in different geographic regions, based upon customer locations, see </w:t>
      </w:r>
      <w:r>
        <w:rPr>
          <w:rFonts w:ascii="Times New Roman;serif" w:hAnsi="Times New Roman;serif"/>
          <w:b w:val="false"/>
          <w:i/>
          <w:color w:val="000000"/>
          <w:sz w:val="20"/>
        </w:rPr>
        <w:t>Note 2 - Revenue</w:t>
      </w:r>
      <w:r>
        <w:rPr>
          <w:rFonts w:ascii="Times New Roman;serif" w:hAnsi="Times New Roman;serif"/>
          <w:b w:val="false"/>
          <w:color w:val="000000"/>
          <w:sz w:val="2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about net property and equipment in different geographic regions is presented below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tbl>
      <w:tblPr>
        <w:tblW w:w="4018" w:type="dxa"/>
        <w:jc w:val="center"/>
        <w:tblInd w:w="0" w:type="dxa"/>
        <w:tblLayout w:type="fixed"/>
        <w:tblCellMar>
          <w:top w:w="28" w:type="dxa"/>
          <w:left w:w="28" w:type="dxa"/>
          <w:bottom w:w="28" w:type="dxa"/>
          <w:right w:w="28" w:type="dxa"/>
        </w:tblCellMar>
      </w:tblPr>
      <w:tblGrid>
        <w:gridCol w:w="525"/>
        <w:gridCol w:w="462"/>
        <w:gridCol w:w="468"/>
        <w:gridCol w:w="109"/>
        <w:gridCol w:w="196"/>
        <w:gridCol w:w="736"/>
        <w:gridCol w:w="109"/>
        <w:gridCol w:w="109"/>
        <w:gridCol w:w="109"/>
        <w:gridCol w:w="109"/>
        <w:gridCol w:w="196"/>
        <w:gridCol w:w="736"/>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Countries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(1)Other than the United States and France, no country or region represented greater than 10% of the total net property and equipment as of the dates presented.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customer concentrations as a percentage of revenue and accounts receivable as of and for the periods presented:</w:t>
      </w:r>
    </w:p>
    <w:tbl>
      <w:tblPr>
        <w:tblW w:w="5030" w:type="dxa"/>
        <w:jc w:val="center"/>
        <w:tblInd w:w="0" w:type="dxa"/>
        <w:tblLayout w:type="fixed"/>
        <w:tblCellMar>
          <w:top w:w="28" w:type="dxa"/>
          <w:left w:w="28" w:type="dxa"/>
          <w:bottom w:w="28" w:type="dxa"/>
          <w:right w:w="28" w:type="dxa"/>
        </w:tblCellMar>
      </w:tblPr>
      <w:tblGrid>
        <w:gridCol w:w="358"/>
        <w:gridCol w:w="314"/>
        <w:gridCol w:w="318"/>
        <w:gridCol w:w="180"/>
        <w:gridCol w:w="181"/>
        <w:gridCol w:w="366"/>
        <w:gridCol w:w="134"/>
        <w:gridCol w:w="134"/>
        <w:gridCol w:w="134"/>
        <w:gridCol w:w="180"/>
        <w:gridCol w:w="181"/>
        <w:gridCol w:w="366"/>
        <w:gridCol w:w="109"/>
        <w:gridCol w:w="109"/>
        <w:gridCol w:w="109"/>
        <w:gridCol w:w="180"/>
        <w:gridCol w:w="181"/>
        <w:gridCol w:w="366"/>
        <w:gridCol w:w="117"/>
        <w:gridCol w:w="117"/>
        <w:gridCol w:w="117"/>
        <w:gridCol w:w="180"/>
        <w:gridCol w:w="181"/>
        <w:gridCol w:w="418"/>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tbl>
      <w:tblPr>
        <w:tblW w:w="3625" w:type="dxa"/>
        <w:jc w:val="center"/>
        <w:tblInd w:w="0" w:type="dxa"/>
        <w:tblLayout w:type="fixed"/>
        <w:tblCellMar>
          <w:top w:w="28" w:type="dxa"/>
          <w:left w:w="28" w:type="dxa"/>
          <w:bottom w:w="28" w:type="dxa"/>
          <w:right w:w="28" w:type="dxa"/>
        </w:tblCellMar>
      </w:tblPr>
      <w:tblGrid>
        <w:gridCol w:w="581"/>
        <w:gridCol w:w="511"/>
        <w:gridCol w:w="513"/>
        <w:gridCol w:w="202"/>
        <w:gridCol w:w="204"/>
        <w:gridCol w:w="358"/>
        <w:gridCol w:w="109"/>
        <w:gridCol w:w="109"/>
        <w:gridCol w:w="109"/>
        <w:gridCol w:w="194"/>
        <w:gridCol w:w="194"/>
        <w:gridCol w:w="541"/>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Accounts Receivable</w:t>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Customer B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Customer Concentration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other customer represented more than 10% of revenue or accounts receivable in the periods presented in the accompanying condensed consolidated financial statements. For each of the three and six months ended April 3, 2026, our top ten customers represented 57% of total revenue. For each of the three and six months ended April 4, 2025, our top ten customers represented 59% of total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18. RELATED-PARTY TRANSACTIONS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April 3, 2026, we sold $0.8 million of commercial product to Empower RF Systems, Inc., a MACOM customer, and an affiliate of one of our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19. SUBSEQUENT EVENTS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27, 2026, MACOM Technology Solutions Inc. (“MACOM US”) entered into a share subscription agreement with IQE plc (“Investee”) pursuant to which MACOM US will purchase newly-issued ordinary shares of Investee for £30 million (representing less than 12% of Investee’s issued and outstanding ordinary shares). In addition, MACOM US will purchase £15 million aggregate principal amount of convertible loan notes to be issued by Investee. In connection with MACOM US’s investment in Investee, MACOM US will be entitled to representation on Investee’s board of directors and will enter into certain strategic long-term supply agreements with Investee. The investment will be funded by cash-on-hand, and the proposed transaction is expected to close in our fiscal third quarter of 2026, subject to regulatory approvals and the satisfaction of certain customary closing conditions.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117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88"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of our financial condition and results of operations should be read in conjunction with the condensed consolidated financial statements and the notes thereto included elsewhere in this Quarterly Report on Form 10-Q and our Annual Report on Form 10-K for the fiscal year ended October 3, 2025 filed with the United States Securities and Exchange Commission (“SEC”) on November 14, 2025 (the “2025 Annual Report on Form 10-K”).</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this document, the words “Company,” “we,” “our,” “us,” and similar terms refer only to MACOM Technology Solutions Holdings, Inc. and its consolidated subsidiaries, and not any other person or entity.</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color w:val="000000"/>
        </w:rPr>
      </w:pPr>
      <w:r>
        <w:rPr>
          <w:color w:val="000000"/>
        </w:rPr>
        <w:t>“</w:t>
      </w:r>
      <w:r>
        <w:rPr>
          <w:rFonts w:ascii="Times New Roman;serif" w:hAnsi="Times New Roman;serif"/>
          <w:b w:val="false"/>
          <w:color w:val="000000"/>
          <w:sz w:val="20"/>
        </w:rPr>
        <w:t>MACOM,” “MACOM Technology Solutions,” and related logos are trademarks of MACOM Technology Solutions Holdings, Inc. All other brands and names listed are trademarks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6" w:after="283"/>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Item 2, “Management’s Discussion and Analysis of Financial Condition and Results of Operations” and other sections of this Quarterly Report on Form 10-Q contain “forward-looking statements” including statements regarding our business outlook, strategic plans and priorities, expectations, anticipated drivers of future revenue growth, industry trends, our plans for use of our cash and cash equivalents and short-term investments, interest rate and foreign currency risks, our ability to meet working capital requirements, estimates and objectives for future operations, our future results of operations and our financial position, including liquidity, and other matters that do not relate strictly to historical facts. Forward-looking statements generally may be identified by terms such as “anticipates,” “believes,” “could,” “continue,” “estimates,” “expects,” “intends,” “may,” “plans,” “potential,” “predicts,” “projects,” “seeks,” “should,” “targets,” “will,” “would” or similar expressions or variations or the negatives of those terms. Forward-looking statements are neither historical facts nor assurances about future performance. Instead, they are based only on our current beliefs, expectations and assumptions. Because forward-looking statements relate to the future, such statements involve inherent risks, changes and uncertainties that are difficult to predict and many of which are outside of our control. A number of important factors could cause actual results and outcomes to differ materially and adversely from those expressed or implied by our forward-looking statements. Important factors that could cause actual results to differ materially from the forward-looking statements include, among others, the risks described in the section entitled “Item 1A - Risk Factors” in this Quarterly Report on Form 10-Q and our 2025 Annual Report on Form 10-K. We caution the reader to carefully consider such factors. Furthermore, such forward-looking statements speak only as of the date of this Quarterly Report on Form 10-Q. Except as required by law, we undertake no obligation to revise or update our forward-looking statements to reflect any event or circumstance that may arise after the date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6"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design, develop and manufacture differentiated semiconductor products and solutions for the Industrial and Defense (“I&amp;D”), Data Center and Telecommunications (“Telecom”) industries for customers who demand high performance, quality and reliability. We are headquartered in Lowell, Massachusetts, with operational facilities throughout North America, Europe and Asia. We have more than 70 years of application expertise, combined with expertise in analog and mixed signal circuit design, compound semiconductor fabrication (including GaAs, GaN, indium phosphide (“InP”) and specialized silicon), advanced packaging and back-end assembly and test. We offer a broad portfolio of thousands of standard and custom devices, which include integrated circuits (“ICs”), multi-chip modules (MCM), diodes, amplifiers, switches and switch limiters, passive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and active components and radio frequency (RF) and optical subsystems, which make up dozens of product lines that service over 6,000 end customers in our three primary markets. Our products are electronic components that our customers generally incorporate into larger electronic systems, such as wireless basestations, high-capacity optical networks, data center networks, radar, medical systems, satellite networks and test and measurement applications. Our primary end markets are: (1) I&amp;D, which includes military and commercial radar, RF jammers, electronic countermeasures, communication data links, space-related electronics and various wired and wireless multi-market applications, which include industrial, medical, test and measurement and scientific applications; (2) Data Center, which includes intra-Data Center, Data Center Interconnect (DCI) applications, at 100G, 200G, 400G, 800G, 1.6T, 3.2T and higher speeds, enabled by our broad portfolio of analog ICs and photonic components for high speed connectivity customers; and (3) Telecom, which includes carrier infrastructure such as long-haul/metro, 5G and 6G infrastructure, satellite communications (“SATCOM”) and Fiber-to-the-X (FTTx)/passive optical network (PON), among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Description of Our Revenue</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 xml:space="preserve">Our revenue is derived from sales of high-performance RF, microwave, millimeter wave, optical and photonic semiconductor products. We design, integrate, manufacture and package differentiated, semiconductor-based products that we sell to customers through our direct sales organization, our network of independent sales representatives and our distributors.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the primary drivers of our future revenue growth will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continued growth in the demand for high-performance analog, digital and optical semiconductors in our three primary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introducing new products using advanced technologies, added features, higher levels of integration and improved performance;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increasing content of our semiconductor solutions in customers’ systems through cross-selling our product lines;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leveraging our core strength and leadership position in standard, catalog products that service all of our end applications;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engaging early with our lead customers to develop custom and standard products.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core strategy is to develop and innovate high-performance products that address our customers’ most difficult technical challenges in our primary markets: I&amp;D, Data Center and Telecom.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our revenue in the I&amp;D market to be driven by the expanding product portfolio that we offer which services applications such as test and measurement, space-related electronics, civil and military radar, industrial, automotive, scientific and medical applications, further supported by growth in applications for our multi-market catalog products.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revenue in the Data Center market to be driven by the adoption of higher speed processing technologies and the upgrade of data center architectures to 100G, 200G, 400G, 800G, 1.6T and 3.2T interconnects, which we expect will drive adoption of higher speed optical and photonic components.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our revenue in the Telecom market to be driven by 5G deployments, with continued upgrades and expansion of communications equipment, SATCOM networks and increasing adoption of our high-performance RF, millimeter wave, optical and photonic components.</w:t>
      </w:r>
    </w:p>
    <w:p>
      <w:pPr>
        <w:pStyle w:val="TextBody"/>
        <w:bidi w:val="0"/>
        <w:spacing w:lineRule="auto" w:line="288" w:before="120" w:after="283"/>
        <w:jc w:val="both"/>
        <w:rPr/>
      </w:pPr>
      <w:r>
        <w:rPr>
          <w:rFonts w:ascii="Times New Roman;serif" w:hAnsi="Times New Roman;serif"/>
          <w:b/>
          <w:color w:val="000000"/>
          <w:sz w:val="20"/>
        </w:rPr>
        <w:t>Critical Accounting Policies and Estimate</w:t>
      </w:r>
      <w:r>
        <w:rPr>
          <w:rFonts w:ascii="Times New Roman;serif" w:hAnsi="Times New Roman;serif"/>
          <w:b w:val="false"/>
          <w:color w:val="000000"/>
          <w:sz w:val="20"/>
        </w:rPr>
        <w: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discussion and analysis of our financial condition and results of operations are based on our condensed consolidated financial statements. The preparation of financial statements, in conformity with GAAP, requires management to make estimates and judgments that affect the reported amounts of assets and liabilities, the reported amounts of revenue and expenses during the reporting period and disclosure of contingent assets and liabilities at the date of the financial statements. By their nature, these estimates and judgments are subject to an inherent degree of uncertainty and could be material if our actual or expected experience were to change unexpectedly. On an ongoing basis, we re-evaluate our estimates and judgments.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base our estimates and judgments on our historical experience and on other assumptions that we believe are reasonable under the circumstances, the results of which form the basis for making the judgments about the carrying values of assets and liabilities that are not readily apparent from other sources. Actual results could differ from those estimates and material effects on our operating results and financial position may result. The accounting policies which our management believes involve the most significant application of judgment or involve complex estimation, are inventories and associated reserves; revenue reserves; business combinations; goodwill and intangible asset valuation; share-based compensation valuations and income taxes.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Business combinations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apply significant estimates and judgments in order to determine the fair value of the identified tangible and intangible assets acquired, liabilities assumed and goodwill recognized in business combinations. The value of all assets and liabilities are recognized at fair value as of the acquisition date using a market participant approach. In measuring fair values, we utilize a number of valuation techniques. When determining the fair value of property and equipment acquired, generally we must estimate the cost to replace the asset with a new asset taking into consideration such factors as age, condition and the economic useful life of the asset. When determining the fair value of intangible assets acquired, typically determined using a discounted cash flow valuation method, we use assumptions such as the timing and amount of future cash flows, discount rates, weighted average cost of capital and estimated useful lives. These assessments can be significantly affected by our judgments.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Goodwill and intangible asset valuation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management judgment is required in our valuation of goodwill and intangible assets, many of which are based on the creation of forecasts of future operating results that are used in the valuation, including (i) estimation of future cash flows, (ii) estimation of the long-term rate of growth for our business, (iii) estimation of the useful life over which cash flows will occur, (iv) terminal values, if applicable, and (v) the determination of our weighted average cost of capital, which helps determine the discount rate. It is possible that these forecasts may change, and our performance projections included in our forecasts of future results may prove to be inaccurate. The value of our goodwill and purchased intangible assets could also be impacted by future adverse changes, such as a decline in the valuation of technology company stocks, including the valuation of our common stock, or a significant slowdown in the worldwide economy or in the semiconductor industry.</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For additional information related to these and other accounting policies refer to </w:t>
      </w:r>
      <w:r>
        <w:rPr>
          <w:rFonts w:ascii="Times New Roman;serif" w:hAnsi="Times New Roman;serif"/>
          <w:b w:val="false"/>
          <w:i/>
          <w:color w:val="000000"/>
          <w:sz w:val="20"/>
        </w:rPr>
        <w:t>Note 2 - Summary of Significant Accounting Policies</w:t>
      </w:r>
      <w:r>
        <w:rPr>
          <w:color w:val="000000"/>
        </w:rPr>
        <w:t xml:space="preserve"> </w:t>
      </w:r>
      <w:r>
        <w:rPr>
          <w:rFonts w:ascii="Times New Roman;serif" w:hAnsi="Times New Roman;serif"/>
          <w:b w:val="false"/>
          <w:color w:val="000000"/>
          <w:sz w:val="20"/>
        </w:rPr>
        <w:t xml:space="preserve">to our Consolidated Financial Statements included in Item 8 of Part II, “Financial Statements and Supplementary Data,” of the 2025 Annual Report on Form 10-K and </w:t>
      </w:r>
      <w:r>
        <w:rPr>
          <w:rFonts w:ascii="Times New Roman;serif" w:hAnsi="Times New Roman;serif"/>
          <w:b w:val="false"/>
          <w:i/>
          <w:color w:val="000000"/>
          <w:sz w:val="20"/>
        </w:rPr>
        <w:t>Note 1 - Basis of Presentation and Summary of Significant Accounting Policies</w:t>
      </w:r>
      <w:r>
        <w:rPr>
          <w:color w:val="000000"/>
        </w:rPr>
        <w:t xml:space="preserve"> </w:t>
      </w:r>
      <w:r>
        <w:rPr>
          <w:rFonts w:ascii="Times New Roman;serif" w:hAnsi="Times New Roman;serif"/>
          <w:b w:val="false"/>
          <w:color w:val="000000"/>
          <w:sz w:val="20"/>
        </w:rPr>
        <w:t>to our condensed consolidated financial statements in this Quarterly Report on Form 10-Q.</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required to estimate our income taxes in each of the jurisdictions in which we operate. This process involves estimating our current tax exposure and assessing temporary differences resulting from differing treatment of items for tax and accounting purposes. These differences result in deferred tax assets and liabilities, which are included within our Consolidated Balance Sheets. We then assess the likelihood that our deferred tax assets will be recovered from future taxable income within the relevant jurisdiction. To the extent we believe that recovery is not likely, we must establish a valuation allowance. We provide valuation allowances for certain deferred tax assets where it is more likely than not that any portion will not be realized.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application of tax laws and regulations to calculate our tax liabilities is subject to legal and factual interpretation, judgment and uncertainty in a multitude of jurisdictions. Tax laws and regulations themselves are subject to change as a result of changes in fiscal policy, changes in legislation, the evolution of regulations, including the July 4, 2025 Bill, as well as court rulings. We recognize potential liabilities for anticipated tax audit matters in the United States and other tax jurisdictions based on our estimate of whether, and the extent to which, additional taxes and interest will be due. We record an amount as an estimate of probable additional income tax liability at the largest amount that we feel is more likely than not, based upon the technical merits of the position, to be sustained upon audit by the relevant tax authority.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our statements of operations data (in thousands):</w:t>
      </w:r>
    </w:p>
    <w:tbl>
      <w:tblPr>
        <w:tblW w:w="8009" w:type="dxa"/>
        <w:jc w:val="center"/>
        <w:tblInd w:w="0" w:type="dxa"/>
        <w:tblLayout w:type="fixed"/>
        <w:tblCellMar>
          <w:top w:w="28" w:type="dxa"/>
          <w:left w:w="28" w:type="dxa"/>
          <w:bottom w:w="28" w:type="dxa"/>
          <w:right w:w="28" w:type="dxa"/>
        </w:tblCellMar>
      </w:tblPr>
      <w:tblGrid>
        <w:gridCol w:w="992"/>
        <w:gridCol w:w="873"/>
        <w:gridCol w:w="87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11"/>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revenue </w:t>
            </w:r>
            <w:r>
              <w:rPr>
                <w:rFonts w:ascii="Times New Roman;serif" w:hAnsi="Times New Roman;serif"/>
                <w:b w:val="false"/>
                <w:color w:val="000000"/>
                <w:sz w:val="12"/>
              </w:rPr>
              <w:t xml:space="preserve">(1)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Research and development</w:t>
            </w:r>
            <w:r>
              <w:rPr>
                <w:color w:val="000000"/>
              </w:rPr>
              <w:t xml:space="preserve"> </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Selling, general and administrative </w:t>
            </w:r>
            <w:r>
              <w:rPr>
                <w:rFonts w:ascii="Times New Roman;serif" w:hAnsi="Times New Roman;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(135,864)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     Includes (a) Amortization expense related to intangible assets arising from acquisitions, purchased software licenses and licensed technology and (b) Share-based compensation expense included in our condensed consolidated statements of operations as set forth below (in thousands):</w:t>
      </w:r>
    </w:p>
    <w:tbl>
      <w:tblPr>
        <w:tblW w:w="7574" w:type="dxa"/>
        <w:jc w:val="left"/>
        <w:tblInd w:w="0" w:type="dxa"/>
        <w:tblLayout w:type="fixed"/>
        <w:tblCellMar>
          <w:top w:w="28" w:type="dxa"/>
          <w:left w:w="28" w:type="dxa"/>
          <w:bottom w:w="28" w:type="dxa"/>
          <w:right w:w="28" w:type="dxa"/>
        </w:tblCellMar>
      </w:tblPr>
      <w:tblGrid>
        <w:gridCol w:w="1059"/>
        <w:gridCol w:w="930"/>
        <w:gridCol w:w="935"/>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 Intangible amortization expense:</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 Share-based compensation expense: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following table sets forth, for the periods indicated, our statements of operations data expressed as a percentage of our revenue:</w:t>
      </w:r>
      <w:r>
        <w:rPr>
          <w:color w:val="000000"/>
        </w:rPr>
        <w:t> </w:t>
      </w:r>
    </w:p>
    <w:tbl>
      <w:tblPr>
        <w:tblW w:w="7351" w:type="dxa"/>
        <w:jc w:val="center"/>
        <w:tblInd w:w="0" w:type="dxa"/>
        <w:tblLayout w:type="fixed"/>
        <w:tblCellMar>
          <w:top w:w="28" w:type="dxa"/>
          <w:left w:w="28" w:type="dxa"/>
          <w:bottom w:w="28" w:type="dxa"/>
          <w:right w:w="28" w:type="dxa"/>
        </w:tblCellMar>
      </w:tblPr>
      <w:tblGrid>
        <w:gridCol w:w="922"/>
        <w:gridCol w:w="810"/>
        <w:gridCol w:w="817"/>
        <w:gridCol w:w="286"/>
        <w:gridCol w:w="270"/>
        <w:gridCol w:w="357"/>
        <w:gridCol w:w="137"/>
        <w:gridCol w:w="137"/>
        <w:gridCol w:w="137"/>
        <w:gridCol w:w="286"/>
        <w:gridCol w:w="270"/>
        <w:gridCol w:w="357"/>
        <w:gridCol w:w="109"/>
        <w:gridCol w:w="109"/>
        <w:gridCol w:w="109"/>
        <w:gridCol w:w="286"/>
        <w:gridCol w:w="270"/>
        <w:gridCol w:w="357"/>
        <w:gridCol w:w="120"/>
        <w:gridCol w:w="120"/>
        <w:gridCol w:w="120"/>
        <w:gridCol w:w="286"/>
        <w:gridCol w:w="270"/>
        <w:gridCol w:w="409"/>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Comparison of the Three and Six Months Ended April 3, 2026 to the Three and Six Months Ended April 4, 2025 </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Our revenue increased by $53.1 million, or 22.5%, to $289.0 million for the three months ended April 3, 2026, from $235.9 million for the three months ended April 4, 2025, and our revenue increased by $106.6 million, or 23.5%, to $560.6 million for the six months ended April 3, 2026, from $454.0 million for the six months ended April 4, 2025. The increase in revenue in the three and six months ended April 3, 2026 is described by end market in the following paragraphs.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our primary markets, the percentage of change between the periods presented, and revenue by primary markets expressed as a percentage of total revenue in the periods presented were (in thousands, except percentages):</w:t>
      </w:r>
    </w:p>
    <w:tbl>
      <w:tblPr>
        <w:tblW w:w="9791" w:type="dxa"/>
        <w:jc w:val="center"/>
        <w:tblInd w:w="0" w:type="dxa"/>
        <w:tblLayout w:type="fixed"/>
        <w:tblCellMar>
          <w:top w:w="28" w:type="dxa"/>
          <w:left w:w="28" w:type="dxa"/>
          <w:bottom w:w="28" w:type="dxa"/>
          <w:right w:w="28" w:type="dxa"/>
        </w:tblCellMar>
      </w:tblPr>
      <w:tblGrid>
        <w:gridCol w:w="581"/>
        <w:gridCol w:w="511"/>
        <w:gridCol w:w="512"/>
        <w:gridCol w:w="109"/>
        <w:gridCol w:w="109"/>
        <w:gridCol w:w="109"/>
        <w:gridCol w:w="278"/>
        <w:gridCol w:w="278"/>
        <w:gridCol w:w="375"/>
        <w:gridCol w:w="109"/>
        <w:gridCol w:w="109"/>
        <w:gridCol w:w="109"/>
        <w:gridCol w:w="109"/>
        <w:gridCol w:w="109"/>
        <w:gridCol w:w="109"/>
        <w:gridCol w:w="278"/>
        <w:gridCol w:w="278"/>
        <w:gridCol w:w="358"/>
        <w:gridCol w:w="109"/>
        <w:gridCol w:w="109"/>
        <w:gridCol w:w="109"/>
        <w:gridCol w:w="220"/>
        <w:gridCol w:w="220"/>
        <w:gridCol w:w="221"/>
        <w:gridCol w:w="109"/>
        <w:gridCol w:w="109"/>
        <w:gridCol w:w="109"/>
        <w:gridCol w:w="109"/>
        <w:gridCol w:w="109"/>
        <w:gridCol w:w="109"/>
        <w:gridCol w:w="278"/>
        <w:gridCol w:w="278"/>
        <w:gridCol w:w="375"/>
        <w:gridCol w:w="109"/>
        <w:gridCol w:w="109"/>
        <w:gridCol w:w="109"/>
        <w:gridCol w:w="109"/>
        <w:gridCol w:w="109"/>
        <w:gridCol w:w="109"/>
        <w:gridCol w:w="278"/>
        <w:gridCol w:w="278"/>
        <w:gridCol w:w="375"/>
        <w:gridCol w:w="109"/>
        <w:gridCol w:w="109"/>
        <w:gridCol w:w="109"/>
        <w:gridCol w:w="233"/>
        <w:gridCol w:w="233"/>
        <w:gridCol w:w="410"/>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 &amp; Defense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 &amp; 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April 3, 2026, our I&amp;D market revenue increased by $22.1 million, or 22.4%, compared to the three months ended April 4, 2025. In the six months ended April 3, 2026, our I&amp;D market revenue increased by $42.4 million, or 21.7%, compared to the six months ended April 4, 2025. The increase in the three and six months ended April 3, 2026 was primarily driven by revenue growth from defense programs.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April 3, 2026, our Data Center market revenue increased by $26.0 million, or 36.0%, compared to the three months ended April 4, 2025. In the six months ended April 3, 2026, our Data Center market revenue increased by $46.5 million, or 33.8%, compared to the six months ended April 4, 2025. The increase in the three and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April 3, 2026 was primarily driven by higher sales of high-performance analog, coherent and optical Data Center products primarily supporting high speed data rates from 100G up to 1.6T.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three months ended April 3, 2026, our Telecom market revenue increased by $5.0 million, or 7.6%, compared to the three months ended April 4, 2025. In the six months ended April 3, 2026, our Telecom market revenue increased by $17.7 million, or 14.6%, compared to the six months ended April 4, 2025. The increase in the three and six months ended April 3, 2026 was primarily driven by higher sales of products for PON, metro long haul, broadband access and SATCOM applications.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areas of our end markets could be negatively affected by any weakening of global economic conditions, including as a result of geopolitical conflicts and related trade restrictions, the evolving impacts from tariffs, sanctions, obtaining required licenses or other trade tensions (including implementation of new tariffs or retaliatory trade measures).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Gross profit.</w:t>
      </w:r>
      <w:r>
        <w:rPr>
          <w:color w:val="000000"/>
        </w:rPr>
        <w:t xml:space="preserve"> </w:t>
      </w:r>
      <w:r>
        <w:rPr>
          <w:rFonts w:ascii="Times New Roman;serif" w:hAnsi="Times New Roman;serif"/>
          <w:b w:val="false"/>
          <w:color w:val="000000"/>
          <w:sz w:val="20"/>
        </w:rPr>
        <w:t>Gross margin was 56.9% and 55.2% for the three months ended April 3, 2026 and April 4, 2025, respectively, and 56.4% and 54.5% for the six months ended April 3, 2026 and April 4, 2025, respectively. Gross profit increased by $34.3 million, or 26.3%, to $164.4 million, or 56.9% of our revenue, for the three months ended April 3, 2026, compared to $130.2 million, or 55.2% of our revenue, for the three months ended April 4, 2025. Gross profit increased by $68.9 million, or 27.9%, to $316.2 million, or 56.4% of our revenue, for the six months ended April 3, 2026, compared to $247.3 million, or 54.5% of our revenue, for the six months ended April 4, 2025. Gross profit increased for the three and six months ended April 3, 2026 as compared to the three and six months ended April 4, 2025 primarily as a result of higher sales, partially offset by increases in employee-related costs, primarily due to additional headcount from the RTP Fab, higher maintenance expense and increases in production supplies.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Research and development expense increased by $11.1 million, or 19.3%, to $69.0 million, or 23.9% of our revenue, for the three months ended April 3, 2026, compared to $57.8 million, or 24.5% of our revenue, for the three months ended April 4, 2025. Research and development expense increased $17.2 million, or 14.6%, to $135.4 million, or 24.2% of our revenue, for the six months ended April 3, 2026, compared to $118.2 million, or 26.0% of our revenue, for the six months ended April 4, 2025. Research and development expense increased in the three months ended April 3, 2026 primarily due to increases in employee-related costs, including increases in headcount, higher R&amp;D-related material costs and share-based compensation expense. Research and development expense increased in the six months ended April 3, 2026 primarily due to employee-related costs, including increases in headcount, higher R&amp;D-related material costs and depreciation expense.</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Selling, general and administrative. </w:t>
      </w:r>
      <w:r>
        <w:rPr>
          <w:rFonts w:ascii="Times New Roman;serif" w:hAnsi="Times New Roman;serif"/>
          <w:b w:val="false"/>
          <w:color w:val="000000"/>
          <w:sz w:val="20"/>
        </w:rPr>
        <w:t>Selling, general and administrative expense increased by $7.2 million, or 19.1%, to $44.6 million, or 15.4% of our revenue, in the three months ended April 3, 2026, compared to $37.4 million, or 15.9% of our revenue, for the three months ended April 4, 2025. Selling, general and administrative expense increased by $10.0 million, or 13.0%, to $86.6 million, or 15.5% of our revenue, in the six months ended April 3, 2026, compared to $76.7 million, or 16.9% of our revenue, for the six months ended April 4, 2025. Selling, general and administrative expense increased in the three months ended April 3, 2026 primarily due to increases in employee-related costs, share-based compensation expense and professional service fees. Selling, general and administrative expense increased in the six months ended April 3, 2026 primarily due to increases in employee-related costs, software costs and variable selling costs.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Interest income. </w:t>
      </w:r>
      <w:r>
        <w:rPr>
          <w:rFonts w:ascii="Times New Roman;serif" w:hAnsi="Times New Roman;serif"/>
          <w:b w:val="false"/>
          <w:color w:val="000000"/>
          <w:sz w:val="20"/>
        </w:rPr>
        <w:t>In the three months ended April 3, 2026, interest income was $7.8 million, compared to $7.2 million for the three months ended April 4, 2025. In the six months ended April 3, 2026, interest income was $15.7 million, compared to $14.2 million for the six months ended April 4, 2025. The increase for the three and six months ended April 3, 2026 is primarily due to the interest income earned from the higher cash and cash equivalents and short-term investments balance prior to the settlement of the 2026 Convertible Notes.</w:t>
      </w:r>
    </w:p>
    <w:p>
      <w:pPr>
        <w:pStyle w:val="TextBody"/>
        <w:bidi w:val="0"/>
        <w:spacing w:lineRule="auto" w:line="288" w:before="120" w:after="283"/>
        <w:ind w:left="0" w:right="0" w:firstLine="360"/>
        <w:jc w:val="both"/>
        <w:rPr/>
      </w:pPr>
      <w:r>
        <w:rPr>
          <w:rFonts w:ascii="Times New Roman;serif" w:hAnsi="Times New Roman;serif"/>
          <w:b w:val="false"/>
          <w:i/>
          <w:color w:val="000000"/>
          <w:sz w:val="20"/>
          <w:shd w:fill="FFFFFF" w:val="clear"/>
        </w:rPr>
        <w:t xml:space="preserve">Provision for income taxes. </w:t>
      </w:r>
      <w:r>
        <w:rPr>
          <w:rFonts w:ascii="Times New Roman;serif" w:hAnsi="Times New Roman;serif"/>
          <w:b w:val="false"/>
          <w:color w:val="000000"/>
          <w:sz w:val="20"/>
          <w:shd w:fill="FFFFFF" w:val="clear"/>
        </w:rPr>
        <w:t>Our income tax expense and effective income tax rates for the periods indicated were (in thousands, except percentages):</w:t>
      </w:r>
      <w:r>
        <w:rPr>
          <w:color w:val="000000"/>
          <w:shd w:fill="FFFFFF" w:val="clear"/>
        </w:rPr>
        <w:t xml:space="preserve"> </w:t>
      </w:r>
    </w:p>
    <w:tbl>
      <w:tblPr>
        <w:tblW w:w="7507" w:type="dxa"/>
        <w:jc w:val="center"/>
        <w:tblInd w:w="0" w:type="dxa"/>
        <w:tblLayout w:type="fixed"/>
        <w:tblCellMar>
          <w:top w:w="28" w:type="dxa"/>
          <w:left w:w="28" w:type="dxa"/>
          <w:bottom w:w="28" w:type="dxa"/>
          <w:right w:w="28" w:type="dxa"/>
        </w:tblCellMar>
      </w:tblPr>
      <w:tblGrid>
        <w:gridCol w:w="781"/>
        <w:gridCol w:w="688"/>
        <w:gridCol w:w="691"/>
        <w:gridCol w:w="196"/>
        <w:gridCol w:w="646"/>
        <w:gridCol w:w="256"/>
        <w:gridCol w:w="109"/>
        <w:gridCol w:w="109"/>
        <w:gridCol w:w="109"/>
        <w:gridCol w:w="196"/>
        <w:gridCol w:w="556"/>
        <w:gridCol w:w="256"/>
        <w:gridCol w:w="109"/>
        <w:gridCol w:w="109"/>
        <w:gridCol w:w="109"/>
        <w:gridCol w:w="196"/>
        <w:gridCol w:w="646"/>
        <w:gridCol w:w="256"/>
        <w:gridCol w:w="109"/>
        <w:gridCol w:w="109"/>
        <w:gridCol w:w="109"/>
        <w:gridCol w:w="196"/>
        <w:gridCol w:w="556"/>
        <w:gridCol w:w="25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rate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estimated annual effective tax rate for the fiscal year ending October 2, 2026 is expected to be approximately 17.3%, which reflects the statutory rate adjusted for expected tax credits, primarily for R&amp;D. This effective tax rate does not reflect the adjustment for any discrete tax matters arising during the year, such as the excess deduction related to share-based compensation. The actual effective income tax rate for the fiscal quarter ended April 3, 2026 was reduced by excess tax benefits related to share-based compensation.</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for the fiscal quarter ended April 4, 2025 was impacted by the non-deductibility of the charge for extinguishment of debt as well as excess tax benefits related to share-based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For additional information refer to </w:t>
      </w:r>
      <w:r>
        <w:rPr>
          <w:rFonts w:ascii="Times New Roman;serif" w:hAnsi="Times New Roman;serif"/>
          <w:b w:val="false"/>
          <w:i/>
          <w:color w:val="000000"/>
          <w:sz w:val="20"/>
        </w:rPr>
        <w:t>Note 15 - Income Taxes</w:t>
      </w:r>
      <w:r>
        <w:rPr>
          <w:color w:val="000000"/>
        </w:rPr>
        <w:t xml:space="preserve"> </w:t>
      </w:r>
      <w:r>
        <w:rPr>
          <w:rFonts w:ascii="Times New Roman;serif" w:hAnsi="Times New Roman;serif"/>
          <w:b w:val="false"/>
          <w:color w:val="000000"/>
          <w:sz w:val="20"/>
        </w:rPr>
        <w:t>to our condensed consolidated financial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activities (in thousands):</w:t>
      </w:r>
    </w:p>
    <w:tbl>
      <w:tblPr>
        <w:tblW w:w="6502" w:type="dxa"/>
        <w:jc w:val="center"/>
        <w:tblInd w:w="0" w:type="dxa"/>
        <w:tblLayout w:type="fixed"/>
        <w:tblCellMar>
          <w:top w:w="28" w:type="dxa"/>
          <w:left w:w="28" w:type="dxa"/>
          <w:bottom w:w="28" w:type="dxa"/>
          <w:right w:w="28" w:type="dxa"/>
        </w:tblCellMar>
      </w:tblPr>
      <w:tblGrid>
        <w:gridCol w:w="1331"/>
        <w:gridCol w:w="1170"/>
        <w:gridCol w:w="1174"/>
        <w:gridCol w:w="109"/>
        <w:gridCol w:w="109"/>
        <w:gridCol w:w="109"/>
        <w:gridCol w:w="200"/>
        <w:gridCol w:w="753"/>
        <w:gridCol w:w="111"/>
        <w:gridCol w:w="109"/>
        <w:gridCol w:w="109"/>
        <w:gridCol w:w="109"/>
        <w:gridCol w:w="200"/>
        <w:gridCol w:w="752"/>
        <w:gridCol w:w="157"/>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4, 2025</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146,806 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effect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98,521 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110,926 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Flow from Operating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cash flow from operating activities for the six months ended April 3, 2026 of $121.6 million consisted of net income of $95.1 million, which included non-cash charges of $80.5 million, primarily related to share-based compensation expense of $44.8 million and depreciation and intangible asset amortization expense of $31.0 million and a net increase in working capital of $54.0 million. The net increase in working capital of $54.0 million was primarily driven by an increase in inventories of $14.4 million, an increase in accounts receivables of $11.0 million, an increase in prepaid expenses and other assets of $10.9 million and a decrease in accrued and other liabilities of $9.1 million.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flow from operating activities for the six months ended April 4, 2025 of $105.3 million consisted of a net loss of $135.9 million plus adjustments of $263.1 million, to reconcile our net loss to cash provided by operating activities, less cash used in operating assets and liabilities of $21.9 million. Adjustments to reconcile our net loss to cash provided by operating activities primarily included loss on extinguishment of debt of $193.1 million, share-based compensation expense of $44.3 million and depreciation and intangible amortization expense of $30.8 million. In addition, cash used in operating assets and liabilities was $21.9 million for the six months ended April 4, 2025, primarily driven by an increase in accounts receivables of $24.7 million, an increase in inventories of $15.0 million, partially offset by an increase in accounts payable of $14.8 million.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Cash Flow from Investing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flow provided by investing activities for the six months ended April 3, 2026 of $73.5 million consisted primarily of proceeds of $176.1 million for the sale and maturity of short-term investments, offset by purchases of $70.5 million of short-term investments, capital expenditures of $26.1 million and purchases of software licenses and licensed technology of $7.4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flow used in investing activities for the six months ended April 4, 2025 of $167.1 million consisted primarily of cash paid for acquisitions, net of cash acquired of $12.7 million, capital expenditures of $13.5 million and purchases of $320.5 million of short-term investments and other investing activities of $8.0 million, offset by proceeds of $187.6 million for the sale and maturity of short-term investments.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Flow from Financing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April 3, 2026, our cash used in financing activities of $208.7 million was primarily related to repayment of the 2026 Convertible Notes of $161.2 million and $51.5 million of common stock withheld associated with employee taxes on vested equity awards, partially offset by $5.2 million of proceeds from employee stock purchases.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April 4, 2025, our cash provided by financing activities of $26.3 million was primarily related to $86.6 million of proceeds from 2029 Convertible Notes and $4.5 million of proceeds from employee stock purchases, partially offset by $41.3 million of common stock withheld associated with employee taxes on vested equity awards and $23.1 million of fees for the convertible note exchange and payments for debt issuance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April 3, 2026, we held $98.5 million of cash and cash equivalents, primarily deposited with financial institutions, as well as $566.3 million of liquid short-term investments. The undistributed earnings of certain foreign subsidiaries are considered indefinitely reinvested for the periods presented and we do not intend to repatriate such earnings. We believe the decision to reinvest these earnings will not have a significant impact on our liquidity. As of April 3, 2026, cash held by our indefinitely reinvested foreign subsidiaries was $8.8 million, which, along with cash generated from foreign operations, is expected to be used in the support of international growth and working capital requirements as well as the repayment of certain intercompany loans.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14, 2025, we announced the execution of a preliminary, non-binding agreement with the CHIPS Program Office (“CPO”), which could provide for proposed direct funding from the U.S. Department of Commerce under the CHIPS Act of up to $70 million. The potential direct funding arrangement and the associated definitive agreement remain under discussion with the CPO.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We plan to use our remaining available cash and cash equivalents and short-term investments for general corporate purposes, including working capital, payment on the</w:t>
      </w:r>
      <w:r>
        <w:rPr>
          <w:color w:val="000000"/>
          <w:shd w:fill="FFFFFF" w:val="clear"/>
        </w:rPr>
        <w:t xml:space="preserve"> </w:t>
      </w:r>
      <w:r>
        <w:rPr>
          <w:rFonts w:ascii="Times New Roman;serif" w:hAnsi="Times New Roman;serif"/>
          <w:b w:val="false"/>
          <w:color w:val="000000"/>
          <w:sz w:val="20"/>
          <w:shd w:fill="FFFFFF" w:val="clear"/>
        </w:rPr>
        <w:t>2029 Convertible Notes, or for the acq</w:t>
      </w:r>
      <w:r>
        <w:rPr>
          <w:rFonts w:ascii="Times New Roman;serif" w:hAnsi="Times New Roman;serif"/>
          <w:b w:val="false"/>
          <w:color w:val="000000"/>
          <w:sz w:val="20"/>
        </w:rPr>
        <w:t>uisition of or investment in complementary technologies, design teams, products and businesses. We believe that our cash and cash equivalents, short-term investments and cash generated from operations will be sufficient to meet our working capital requirements for at least the next twelve months. We may need to raise additional capital from time to time through the issuance and sale of equity or debt securities, and there is no assurance that we will be able to do so on favorable terms or at all.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April 3, 2026, we had no off-balance sheet arrangements.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For additional information related to our Liquidity and Capital Resources, see </w:t>
      </w:r>
      <w:r>
        <w:rPr>
          <w:rFonts w:ascii="Times New Roman;serif" w:hAnsi="Times New Roman;serif"/>
          <w:b w:val="false"/>
          <w:i/>
          <w:color w:val="000000"/>
          <w:sz w:val="20"/>
        </w:rPr>
        <w:t>Note 10 - Debt</w:t>
      </w:r>
      <w:r>
        <w:rPr>
          <w:color w:val="000000"/>
        </w:rPr>
        <w:t xml:space="preserve"> </w:t>
      </w:r>
      <w:r>
        <w:rPr>
          <w:rFonts w:ascii="Times New Roman;serif" w:hAnsi="Times New Roman;serif"/>
          <w:b w:val="false"/>
          <w:color w:val="000000"/>
          <w:sz w:val="20"/>
        </w:rPr>
        <w:t>to our condensed consolidated financial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1 - Basis of Presentation and Summary of Significant Accounting Policies</w:t>
      </w:r>
      <w:r>
        <w:rPr>
          <w:color w:val="000000"/>
        </w:rPr>
        <w:t xml:space="preserve"> </w:t>
      </w:r>
      <w:r>
        <w:rPr>
          <w:rFonts w:ascii="Times New Roman;serif" w:hAnsi="Times New Roman;serif"/>
          <w:b w:val="false"/>
          <w:color w:val="000000"/>
          <w:sz w:val="20"/>
        </w:rPr>
        <w:t>to our condensed consolidated financial statements in this Quarterly Report on Form 10-Q for information about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 in the ordinary course of business, which consists primarily of interest rate risk associated with our cash and cash equivalents and short-term investments, as well as foreign exchange rate risk. </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Interest rate risk.</w:t>
      </w:r>
      <w:r>
        <w:rPr>
          <w:color w:val="000000"/>
        </w:rPr>
        <w:t xml:space="preserve"> </w:t>
      </w:r>
      <w:r>
        <w:rPr>
          <w:rFonts w:ascii="Times New Roman;serif" w:hAnsi="Times New Roman;serif"/>
          <w:b w:val="false"/>
          <w:color w:val="000000"/>
          <w:sz w:val="20"/>
        </w:rPr>
        <w:t>The primary objectives of our investment activity are to preserve principal, provide liquidity and invest excess cash for an average rate of return. To minimize market risk, we maintain our portfolio in cash and diversified investments, which may consist of corporate bonds, bank deposits, money market funds, commercial paper and U.S. Treasury securities. The interest rates are variable and fluctuate with current market conditions. The risk associated with fluctuating interest rates is limited to this investment portfolio. We believe that a 1% change in interest rates would have a $6.6 million impact on our annual interest income, based on cash and cash equivalents and short-term investments balances as of April 3, 2026. We believe that a change in interest rates would not have a material impact on our results of operations, however, such change(s) could impact net income and earnings per share. We do not enter into financial instruments for trading or speculative purposes.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Foreign currency risk.</w:t>
      </w:r>
      <w:r>
        <w:rPr>
          <w:color w:val="000000"/>
        </w:rPr>
        <w:t xml:space="preserve"> </w:t>
      </w:r>
      <w:r>
        <w:rPr>
          <w:rFonts w:ascii="Times New Roman;serif" w:hAnsi="Times New Roman;serif"/>
          <w:b w:val="false"/>
          <w:color w:val="000000"/>
          <w:sz w:val="20"/>
        </w:rPr>
        <w:t>To date, our international customer agreements have been denominated primarily in U.S. dollars. Accordingly, we have limited exposure to foreign currency exchange rates. The functional currency of a majority of our foreign operations continues to be in U.S. dollars with the remaining operations being local currency. Changes in the value of the U.S. dollar relative to other currencies could make our products more expensive, which could negatively impact demand in certain regions, reduce or delay customer orders, or otherwise negatively affect how customers do business with us. The effects of exchange rate fluctuations on the net assets of the majority of our operations are accounted for as transaction gains or losses. We believe that a change of 10% in such foreign currency exchange rates would not have a material impact on our financial position or results of operations.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We have entered into foreign currency exchange hedging contracts to reduce the impact of foreign currency changes on certain intercompany foreign currency denominated debt. These foreign currency forward contracts are entered into for periods consistent with currency transaction exposures, generally one month. They are not designated as cash flow or fair value hedges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These forward contracts are marked-to-market with changes in fair value recorded to earnings. As of April 3, 2026, we had $53.0 million in notional forward foreign currency contracts, which were denominated in Euro and Yen. The fair value of these forward contracts is immaterial as of April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on Form 10-Q, we carried out an evaluation of the effectiveness of the design and operation of our disclosure controls and procedures (as defined in Rule 13a-15(e) under the Securities Exchange Act of 1934, as amended (the “Exchange Act”)). Based on this evaluation, our Chief Executive Officer and Chief Financial Officer concluded that our disclosure controls and procedures (as defined in Exchange Act Rules 13a-15(e) and 15d-15(e)) were effective as of April 3, 2026.</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 over financial reporting (as defined in Rules 13a-15(f) and 15d-15(f) of the Exchange Act) that occurred during our most recent fiscal quarter that have materially affected, or are reasonably likely to materially affect, our internal control over financial reporting.</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Limitations on Controls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13 - Commitments and Contingencies</w:t>
      </w:r>
      <w:r>
        <w:rPr>
          <w:color w:val="000000"/>
        </w:rPr>
        <w:t xml:space="preserve"> </w:t>
      </w:r>
      <w:r>
        <w:rPr>
          <w:rFonts w:ascii="Times New Roman;serif" w:hAnsi="Times New Roman;serif"/>
          <w:b w:val="false"/>
          <w:color w:val="000000"/>
          <w:sz w:val="20"/>
        </w:rPr>
        <w:t>to our condensed consolidated financial statements in this Quarterly Report on Form 10-Q for information about our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involves a high degree of risk. In addition to the other information set forth in this Quarterly Report on Form 10-Q, you should carefully consider the factors discussed in Part I, “Item 1A. Risk Factors” in our 2025 Annual Report on Form 10-K, which could materially affect our business, financial condition or future results. As of the date of this Quarterly Report on Form 10-Q, there have been no material changes in any of the risk factors described in our 2025 Annual Report on Form 10-K, except as discussed in Part II, “Item 1A. Risk Factors” in our Quarterly Report on Form 10-Q for the fiscal quarter ended January 2, 2026, as filed with the SEC on February 5, 2026 and as noted below.</w:t>
      </w:r>
    </w:p>
    <w:p>
      <w:pPr>
        <w:pStyle w:val="TextBody"/>
        <w:bidi w:val="0"/>
        <w:spacing w:lineRule="auto" w:line="288" w:before="0" w:after="100"/>
        <w:ind w:left="0" w:right="0" w:firstLine="360"/>
        <w:jc w:val="both"/>
        <w:rPr>
          <w:rFonts w:ascii="Times New Roman;serif" w:hAnsi="Times New Roman;serif"/>
          <w:b/>
          <w:i/>
          <w:color w:val="000000"/>
          <w:sz w:val="20"/>
        </w:rPr>
      </w:pPr>
      <w:r>
        <w:rPr>
          <w:rFonts w:ascii="Times New Roman;serif" w:hAnsi="Times New Roman;serif"/>
          <w:b/>
          <w:i/>
          <w:color w:val="000000"/>
          <w:sz w:val="20"/>
        </w:rPr>
        <w:t>We have made, and expect to make, acquisitions and investments, which involve numerous risks.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routinely evaluate potential acquisitions, investments and strategic alliances involving complementary technologies, design teams, products and businesses. We expect to pursue such transactions if appropriate opportunities arise. However, we may not be able to identify suitable transactions in the future or if we do identify such transactions, we may not be able to complete them on commercially acceptable terms or at all and may face intense competition for such opportunities. For example, on April 27, 2026, MACOM US entered into a share subscription agreement with Investee pursuant to which MACOM US will purchase newly-issued ordinary shares of Investee for £30.0 million and £15.0 million aggregate principal amount of convertible loan notes to be issued by Investee. In this transaction and any other potential transactions we may pursue in the future, we will face numerous risks, including, among others, diverting management’s attention from normal daily operations of our business; inability to exercise control or influence over the operations, strategy or financial decisions of a company in which we have made an investment; dependence on the existing management, board and operations of investee companies to successfully execute their business plans; exposure to risks and liabilities arising from the operations of investee companies over which we may have limited or no control; decline in the value of our investments due to factors including the investee company's financial performance, market conditions, competitive pressures or adverse developments in the investee company's industry; failing to realize the anticipated strategic benefits and synergies of an acquisition or investment; difficulties in integrating the financial reporting capabilities and operating systems of any acquired operations to maintain effective internal control over financial reporting and disclosure controls and procedures; potential loss of key personnel of the acquired company as well as their know-how, relationships and expertise; challenges successfully integrating acquired personnel, operations and businesses; maintaining favorable business relationships of acquired operations; generating insufficient revenue from completed transactions to offset expenses associated with our efforts; acquiring material or unknown liabilities associated with any acquired operations; litigation associated with merger and acquisition transactions; and increasing expense associated with amortization or depreciation of intangible and tangible assets we acquire.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past acquisitions and other transactions required significant management time and attention relating to the transactions. Past transactions, whether completed or not by us, have resulted, and in the future may result, in significant time and attention, costs, expenses, liabilities and charges to earnings. The accounting treatment for any future transaction may negatively affect our consolidated results of operations. The accounting treatment may also result in significant goodwill or intangible assets, which, if impaired, will negatively affect our consolidated results of operations. Furthermore, we may incur debt or issue equity securities to pay for transactions. The incurrence of debt could limit our operating flexibility and be detrimental to our profitability, and the issuance of equity securities would be dilutive to our existing stockholders. Any or all of the above factors may differ from the investment community’s expectations in a given quarter, which could negatively affect our stock price. In the event we make future investments, the investments may decline in value, we may lose all or part of 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with respect to purchases of common stock we made during the fiscal quarter ended April 3, 2026. </w:t>
      </w:r>
    </w:p>
    <w:tbl>
      <w:tblPr>
        <w:tblW w:w="10205" w:type="dxa"/>
        <w:jc w:val="center"/>
        <w:tblInd w:w="0" w:type="dxa"/>
        <w:tblLayout w:type="fixed"/>
        <w:tblCellMar>
          <w:top w:w="28" w:type="dxa"/>
          <w:left w:w="28" w:type="dxa"/>
          <w:bottom w:w="28" w:type="dxa"/>
          <w:right w:w="28" w:type="dxa"/>
        </w:tblCellMar>
      </w:tblPr>
      <w:tblGrid>
        <w:gridCol w:w="477"/>
        <w:gridCol w:w="357"/>
        <w:gridCol w:w="364"/>
        <w:gridCol w:w="515"/>
        <w:gridCol w:w="440"/>
        <w:gridCol w:w="442"/>
        <w:gridCol w:w="109"/>
        <w:gridCol w:w="109"/>
        <w:gridCol w:w="109"/>
        <w:gridCol w:w="287"/>
        <w:gridCol w:w="946"/>
        <w:gridCol w:w="159"/>
        <w:gridCol w:w="109"/>
        <w:gridCol w:w="109"/>
        <w:gridCol w:w="109"/>
        <w:gridCol w:w="755"/>
        <w:gridCol w:w="755"/>
        <w:gridCol w:w="758"/>
        <w:gridCol w:w="109"/>
        <w:gridCol w:w="109"/>
        <w:gridCol w:w="109"/>
        <w:gridCol w:w="867"/>
        <w:gridCol w:w="867"/>
        <w:gridCol w:w="1235"/>
      </w:tblGrid>
      <w:tr>
        <w:trPr/>
        <w:tc>
          <w:tcPr>
            <w:tcW w:w="47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(or Units)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(or Units)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 (or Approximate Dollar Value) of Shares (or Units) that May Yet Be Purchased Under the Plans or Programs</w:t>
            </w:r>
          </w:p>
        </w:tc>
      </w:tr>
      <w:tr>
        <w:trPr/>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January 3, 2026-January 30, 2026</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January 31, 2026-February 27, 2026</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28, 2026-April 3,2026</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6,097 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7,586 </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We employ “withhold to cover” as a tax payment method for vesting of restricted stock awards for our employees, pursuant to which, we withheld from employees the shares noted in the table above to cover tax withholding related to the vesting of their awards. The average prices listed in the above table are averages of the fair market prices at which we valued shares withheld for purposes of calculating the number of shares to be withheld. </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describes actions by our directors and Section 16 officers with respect to plans intended to satisfy the affirmative defense conditions of Rule 10b5-1(c) during the three months ended April 3, 2026. None of our directors or Section 16 officers terminated a Rule 10b5-1 trading arrangement or took actions with respect to a “non-Rule 10b5-1 trading arrangement,” as such term is defined in Item 408(c) of Regulation S-K, during the three months ended April 3, 2026.</w:t>
      </w:r>
    </w:p>
    <w:tbl>
      <w:tblPr>
        <w:tblW w:w="10205" w:type="dxa"/>
        <w:jc w:val="left"/>
        <w:tblInd w:w="0" w:type="dxa"/>
        <w:tblLayout w:type="fixed"/>
        <w:tblCellMar>
          <w:top w:w="28" w:type="dxa"/>
          <w:left w:w="28" w:type="dxa"/>
          <w:bottom w:w="28" w:type="dxa"/>
          <w:right w:w="28" w:type="dxa"/>
        </w:tblCellMar>
      </w:tblPr>
      <w:tblGrid>
        <w:gridCol w:w="1225"/>
        <w:gridCol w:w="1005"/>
        <w:gridCol w:w="974"/>
        <w:gridCol w:w="109"/>
        <w:gridCol w:w="109"/>
        <w:gridCol w:w="109"/>
        <w:gridCol w:w="294"/>
        <w:gridCol w:w="294"/>
        <w:gridCol w:w="298"/>
        <w:gridCol w:w="109"/>
        <w:gridCol w:w="109"/>
        <w:gridCol w:w="109"/>
        <w:gridCol w:w="410"/>
        <w:gridCol w:w="410"/>
        <w:gridCol w:w="416"/>
        <w:gridCol w:w="109"/>
        <w:gridCol w:w="109"/>
        <w:gridCol w:w="109"/>
        <w:gridCol w:w="466"/>
        <w:gridCol w:w="460"/>
        <w:gridCol w:w="461"/>
        <w:gridCol w:w="109"/>
        <w:gridCol w:w="109"/>
        <w:gridCol w:w="109"/>
        <w:gridCol w:w="638"/>
        <w:gridCol w:w="638"/>
        <w:gridCol w:w="908"/>
      </w:tblGrid>
      <w:tr>
        <w:trPr/>
        <w:tc>
          <w:tcPr>
            <w:tcW w:w="122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3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 of Plan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Potential Number of Shares to be Sold (2)</w:t>
            </w:r>
          </w:p>
        </w:tc>
      </w:tr>
      <w:tr>
        <w:trPr/>
        <w:tc>
          <w:tcPr>
            <w:tcW w:w="3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John Kober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Sale of up to 26,560 shares</w:t>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Stephen Daly</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 and Chair of the 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Sale of up to 65,989 shares</w:t>
            </w:r>
          </w:p>
        </w:tc>
      </w:tr>
      <w:tr>
        <w:trPr/>
        <w:tc>
          <w:tcPr>
            <w:tcW w:w="3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    Date of plan termination or such earlier date upon which all transactions are completed or expire without execution.</w:t>
      </w:r>
    </w:p>
    <w:p>
      <w:pPr>
        <w:pStyle w:val="TextBody"/>
        <w:bidi w:val="0"/>
        <w:spacing w:lineRule="auto" w:line="288" w:before="1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    Represents the gross number of shares subject to the Rule 10b5-1 plan, excluding the potential effect of shares withheld for taxes. Amounts may include shares to be earned as PRSUs and are presented at their target amounts. The actual number of PRSUs earned following the end of the applicable performance period, if any, will depend on the relative achievement of the applicable performance metrics.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2971"/>
        <w:gridCol w:w="2870"/>
        <w:gridCol w:w="2897"/>
        <w:gridCol w:w="109"/>
        <w:gridCol w:w="109"/>
        <w:gridCol w:w="109"/>
        <w:gridCol w:w="109"/>
        <w:gridCol w:w="109"/>
        <w:gridCol w:w="15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8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8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Fifth Amended and Restated Certificate of Incorporation, as amended by the Certificate of Amendment dated March 2, 2023 and as further amended by the Certificate of Amendment dated March 11, 2024 (incorporated by reference to Exhibit 3.1 to our Quarterly Report on Form 10-Q filed on May 2,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8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Fourth Amended and Restated Bylaws (incorporated by reference to Exhibit 3.1 to our Current Report on Form 8-K filed on January 6,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8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tsi_2026xq2xexhibit311.htm">
              <w:r>
                <w:rPr>
                  <w:rStyle w:val="InternetLink"/>
                  <w:rFonts w:ascii="Times New Roman;serif" w:hAnsi="Times New Roman;serif"/>
                  <w:b w:val="false"/>
                  <w:color w:val="0000FF"/>
                  <w:sz w:val="20"/>
                  <w:u w:val="single"/>
                </w:rPr>
                <w:t>Certification of Principal Executive Officer Required Under Rule 13a-14(a) and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8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tsi_2026xq2xexhibit312.htm">
              <w:r>
                <w:rPr>
                  <w:rStyle w:val="InternetLink"/>
                  <w:rFonts w:ascii="Times New Roman;serif" w:hAnsi="Times New Roman;serif"/>
                  <w:b w:val="false"/>
                  <w:color w:val="0000FF"/>
                  <w:sz w:val="20"/>
                  <w:u w:val="single"/>
                </w:rPr>
                <w:t>Certification of Principal Financial Officer Required Under Rule 13a-14(a) and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8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tsi_2026xq2xexhibit321.htm">
              <w:r>
                <w:rPr>
                  <w:rStyle w:val="InternetLink"/>
                  <w:rFonts w:ascii="Times New Roman;serif" w:hAnsi="Times New Roman;serif"/>
                  <w:b w:val="false"/>
                  <w:color w:val="0000FF"/>
                  <w:sz w:val="20"/>
                  <w:u w:val="single"/>
                </w:rPr>
                <w:t>Certification of Principal Executive Officer and Principal Financial Officer Required Under Rule 13a-14(b) of the Securities Exchange Act of 1934, as amended, and 18 U.S.C.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8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material from the Quarterly Report on Form 10-Q of MACOM Technology Solutions Holdings, Inc. for the fiscal quarter ended April 3, 2026, formatted in Inline XBRL: (i) Consolidated Balance Sheets, (ii) Consolidated Statements of Operations, (iii) Consolidated Statements of Comprehensive Income (Loss), (iv) Consolidated Statements of Stockholders’ Equity, (v) Consolidated Statements of Cash Flows, (vi) Notes to Consolidated Financial Statements and (vii) document and entity information, tagged as blocks of text and including detailed tags.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8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for the Quarterly Report on Form 10-Q of MACOM Technology Solutions Holdings, Inc. for the fiscal quarter ended April 3, 2026, formatted in Inline XBRL and included as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Quarterly Report on Form 10-Q to be signed on its behalf by the undersigned thereunto duly authorized.</w:t>
      </w:r>
    </w:p>
    <w:tbl>
      <w:tblPr>
        <w:tblW w:w="9318" w:type="dxa"/>
        <w:jc w:val="left"/>
        <w:tblInd w:w="0" w:type="dxa"/>
        <w:tblLayout w:type="fixed"/>
        <w:tblCellMar>
          <w:top w:w="28" w:type="dxa"/>
          <w:left w:w="28" w:type="dxa"/>
          <w:bottom w:w="28" w:type="dxa"/>
          <w:right w:w="28" w:type="dxa"/>
        </w:tblCellMar>
      </w:tblPr>
      <w:tblGrid>
        <w:gridCol w:w="629"/>
        <w:gridCol w:w="553"/>
        <w:gridCol w:w="558"/>
        <w:gridCol w:w="796"/>
        <w:gridCol w:w="796"/>
        <w:gridCol w:w="796"/>
        <w:gridCol w:w="1516"/>
        <w:gridCol w:w="1516"/>
        <w:gridCol w:w="2158"/>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MACOM TECHNOLOGY SOLUTIONS HOLDINGS,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May 7, 2026</w:t>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G. Daly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G. Daly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 and Chair of the Board</w:t>
              <w:b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May 7, 2026</w:t>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F. Kober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F. Kober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br/>
              <w:t>(Principal Accounting and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THE PRESIDENT AND CEO PURSUANT TO SECTION 302 OF THE SARBANES-OXLEY ACT OF 2002</w:t>
      </w:r>
    </w:p>
    <w:p>
      <w:pPr>
        <w:pStyle w:val="TextBody"/>
        <w:bidi w:val="0"/>
        <w:spacing w:before="120" w:after="283"/>
        <w:jc w:val="center"/>
        <w:rPr/>
      </w:pPr>
      <w:r>
        <w:rPr/>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 Stephen G. Daly, certify that: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MACOM Technology Solutions Holdings, Inc.;</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tbl>
      <w:tblPr>
        <w:tblW w:w="4994" w:type="dxa"/>
        <w:jc w:val="left"/>
        <w:tblInd w:w="0" w:type="dxa"/>
        <w:tblLayout w:type="fixed"/>
        <w:tblCellMar>
          <w:top w:w="28" w:type="dxa"/>
          <w:left w:w="28" w:type="dxa"/>
          <w:bottom w:w="28" w:type="dxa"/>
          <w:right w:w="28" w:type="dxa"/>
        </w:tblCellMar>
      </w:tblPr>
      <w:tblGrid>
        <w:gridCol w:w="179"/>
        <w:gridCol w:w="157"/>
        <w:gridCol w:w="159"/>
        <w:gridCol w:w="1310"/>
        <w:gridCol w:w="1310"/>
        <w:gridCol w:w="1879"/>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val="false"/>
                <w:color w:val="000000"/>
                <w:sz w:val="18"/>
              </w:rPr>
            </w:pPr>
            <w:r>
              <w:rPr>
                <w:rFonts w:ascii="Times New Roman;serif" w:hAnsi="Times New Roman;serif"/>
                <w:b w:val="false"/>
                <w:color w:val="000000"/>
                <w:sz w:val="18"/>
              </w:rPr>
              <w:t>Date:</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7, 2026</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Stephen G. Daly</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Stephen G. Daly</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President and Chief Executive Officer and Chair of the Board</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CERTIFICATION OF THE CFO PURSUANT TO SECTION 302 OF THE SARBANES-OXLEY ACT OF 2002</w:t>
      </w:r>
    </w:p>
    <w:p>
      <w:pPr>
        <w:pStyle w:val="TextBody"/>
        <w:bidi w:val="0"/>
        <w:spacing w:before="120" w:after="283"/>
        <w:jc w:val="center"/>
        <w:rPr/>
      </w:pPr>
      <w:r>
        <w:rPr/>
      </w:r>
    </w:p>
    <w:p>
      <w:pPr>
        <w:pStyle w:val="TextBody"/>
        <w:bidi w:val="0"/>
        <w:spacing w:lineRule="auto" w:line="288" w:before="120" w:after="283"/>
        <w:jc w:val="left"/>
        <w:rPr/>
      </w:pPr>
      <w:r>
        <w:rPr>
          <w:rFonts w:ascii="Times New Roman;serif" w:hAnsi="Times New Roman;serif"/>
          <w:b w:val="false"/>
          <w:color w:val="000000"/>
          <w:sz w:val="18"/>
        </w:rPr>
        <w:t xml:space="preserve">I, </w:t>
      </w:r>
      <w:r>
        <w:rPr>
          <w:rFonts w:ascii="Times New Roman;serif" w:hAnsi="Times New Roman;serif"/>
          <w:b w:val="false"/>
          <w:color w:val="000000"/>
          <w:sz w:val="20"/>
        </w:rPr>
        <w:t>John F. Kober</w:t>
      </w:r>
      <w:r>
        <w:rPr>
          <w:rFonts w:ascii="Times New Roman;serif" w:hAnsi="Times New Roman;serif"/>
          <w:b w:val="false"/>
          <w:color w:val="000000"/>
          <w:sz w:val="18"/>
        </w:rPr>
        <w:t>, certify that: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MACOM Technology Solutions Holdings, Inc.;</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tbl>
      <w:tblPr>
        <w:tblW w:w="2969" w:type="dxa"/>
        <w:jc w:val="left"/>
        <w:tblInd w:w="0" w:type="dxa"/>
        <w:tblLayout w:type="fixed"/>
        <w:tblCellMar>
          <w:top w:w="28" w:type="dxa"/>
          <w:left w:w="28" w:type="dxa"/>
          <w:bottom w:w="28" w:type="dxa"/>
          <w:right w:w="28" w:type="dxa"/>
        </w:tblCellMar>
      </w:tblPr>
      <w:tblGrid>
        <w:gridCol w:w="179"/>
        <w:gridCol w:w="157"/>
        <w:gridCol w:w="159"/>
        <w:gridCol w:w="720"/>
        <w:gridCol w:w="720"/>
        <w:gridCol w:w="1034"/>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val="false"/>
                <w:color w:val="000000"/>
                <w:sz w:val="18"/>
              </w:rPr>
            </w:pPr>
            <w:r>
              <w:rPr>
                <w:rFonts w:ascii="Times New Roman;serif" w:hAnsi="Times New Roman;serif"/>
                <w:b w:val="false"/>
                <w:color w:val="000000"/>
                <w:sz w:val="18"/>
              </w:rPr>
              <w:t>Date:</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7, 2026</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John F. Kober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F. Kober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SVP and Chief Financial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center"/>
        <w:rPr/>
      </w:pPr>
      <w:r>
        <w:rPr/>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In connection with the Quarterly Report of MACOM Technology Solutions Holdings, Inc. (the “Company”) on Form 10-Q for the quarter ended April 3, 2026 as filed with the Securities and Exchange Commission on the date hereof (the “Report”), Stephen G. Daly, as President and Chief Executive Officer and Chair of the Board of the Company, and John F. Kober, as SVP and Chief Financial Officer of the Company, each hereby certifies, pursuant to and solely for the purpose of 18 U.S.C. Section 1350, as adopted pursuant to Section 906 of the Sarbanes-Oxley Act of 2002, that:</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for the period covered by the Report.</w:t>
      </w:r>
    </w:p>
    <w:tbl>
      <w:tblPr>
        <w:tblW w:w="5654" w:type="dxa"/>
        <w:jc w:val="left"/>
        <w:tblInd w:w="0" w:type="dxa"/>
        <w:tblLayout w:type="fixed"/>
        <w:tblCellMar>
          <w:top w:w="28" w:type="dxa"/>
          <w:left w:w="28" w:type="dxa"/>
          <w:bottom w:w="28" w:type="dxa"/>
          <w:right w:w="28" w:type="dxa"/>
        </w:tblCellMar>
      </w:tblPr>
      <w:tblGrid>
        <w:gridCol w:w="200"/>
        <w:gridCol w:w="177"/>
        <w:gridCol w:w="178"/>
        <w:gridCol w:w="1494"/>
        <w:gridCol w:w="1494"/>
        <w:gridCol w:w="211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G. Daly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G. Daly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and Chair of the Board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F. Kober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F. Kober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SVP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93594/000149359424000040/ex31fifthamendedandrestate.htm" TargetMode="External"/><Relationship Id="rId3" Type="http://schemas.openxmlformats.org/officeDocument/2006/relationships/hyperlink" Target="https://www.sec.gov/Archives/edgar/data/1493594/000149359423000008/mtsi-fourthamendedandrest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17837</Words>
  <Characters>98747</Characters>
  <CharactersWithSpaces>115407</CharactersWithSpaces>
  <Paragraphs>2502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