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xml.htm"/>
      <w:bookmarkStart w:id="1" w:name="ksedgar"/>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Daly Stephen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MACOM TECHNOLOGY SOLUTIONS HOLDINGS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CHELMSFORD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LOWELL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MACOM Technology Solutions Holdings, Inc.</w:t>
              </w:r>
            </w:hyperlink>
            <w:r>
              <w:rPr/>
              <w:t xml:space="preserve"> [ </w:t>
            </w:r>
            <w:r>
              <w:rPr>
                <w:rFonts w:ascii="Times;serif" w:hAnsi="Times;serif"/>
                <w:color w:val="0000FF"/>
                <w:sz w:val="24"/>
                <w:shd w:fill="FFFFFF" w:val="clear"/>
              </w:rPr>
              <w:t>MTSI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358.44</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52,717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359.37</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50,517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360.49</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50,117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362.02</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49,213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362.94</w:t>
            </w:r>
            <w:r>
              <w:rPr>
                <w:rFonts w:ascii="Times;serif" w:hAnsi="Times;serif"/>
                <w:color w:val="008000"/>
                <w:position w:val="7"/>
                <w:sz w:val="16"/>
                <w:sz w:val="20"/>
                <w:shd w:fill="FFFFFF" w:val="clear"/>
              </w:rPr>
              <w:t>(6)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46,784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363.87</w:t>
            </w:r>
            <w:r>
              <w:rPr>
                <w:rFonts w:ascii="Times;serif" w:hAnsi="Times;serif"/>
                <w:color w:val="008000"/>
                <w:position w:val="7"/>
                <w:sz w:val="16"/>
                <w:sz w:val="20"/>
                <w:shd w:fill="FFFFFF" w:val="clear"/>
              </w:rPr>
              <w:t>(7)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44,709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364.89</w:t>
            </w:r>
            <w:r>
              <w:rPr>
                <w:rFonts w:ascii="Times;serif" w:hAnsi="Times;serif"/>
                <w:color w:val="008000"/>
                <w:position w:val="7"/>
                <w:sz w:val="16"/>
                <w:sz w:val="20"/>
                <w:shd w:fill="FFFFFF" w:val="clear"/>
              </w:rPr>
              <w:t>(8)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366.46</w:t>
            </w:r>
            <w:r>
              <w:rPr>
                <w:rFonts w:ascii="Times;serif" w:hAnsi="Times;serif"/>
                <w:color w:val="008000"/>
                <w:position w:val="7"/>
                <w:sz w:val="16"/>
                <w:sz w:val="20"/>
                <w:shd w:fill="FFFFFF" w:val="clear"/>
              </w:rPr>
              <w:t>(9)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367.95</w:t>
            </w:r>
            <w:r>
              <w:rPr>
                <w:rFonts w:ascii="Times;serif" w:hAnsi="Times;serif"/>
                <w:color w:val="008000"/>
                <w:position w:val="7"/>
                <w:sz w:val="16"/>
                <w:sz w:val="20"/>
                <w:shd w:fill="FFFFFF" w:val="clear"/>
              </w:rPr>
              <w:t>(10)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369.38</w:t>
            </w:r>
            <w:r>
              <w:rPr>
                <w:rFonts w:ascii="Times;serif" w:hAnsi="Times;serif"/>
                <w:color w:val="008000"/>
                <w:position w:val="7"/>
                <w:sz w:val="16"/>
                <w:sz w:val="20"/>
                <w:shd w:fill="FFFFFF" w:val="clear"/>
              </w:rPr>
              <w:t>(11)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374.09</w:t>
            </w:r>
            <w:r>
              <w:rPr>
                <w:rFonts w:ascii="Times;serif" w:hAnsi="Times;serif"/>
                <w:color w:val="008000"/>
                <w:position w:val="7"/>
                <w:sz w:val="16"/>
                <w:sz w:val="20"/>
                <w:shd w:fill="FFFFFF" w:val="clear"/>
              </w:rPr>
              <w:t>(12)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375.1</w:t>
            </w:r>
            <w:r>
              <w:rPr>
                <w:rFonts w:ascii="Times;serif" w:hAnsi="Times;serif"/>
                <w:color w:val="008000"/>
                <w:position w:val="7"/>
                <w:sz w:val="16"/>
                <w:sz w:val="20"/>
                <w:shd w:fill="FFFFFF" w:val="clear"/>
              </w:rPr>
              <w:t>(13)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378.86</w:t>
            </w:r>
            <w:r>
              <w:rPr>
                <w:rFonts w:ascii="Times;serif" w:hAnsi="Times;serif"/>
                <w:color w:val="008000"/>
                <w:position w:val="7"/>
                <w:sz w:val="16"/>
                <w:sz w:val="20"/>
                <w:shd w:fill="FFFFFF" w:val="clear"/>
              </w:rPr>
              <w:t>(14)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380.98</w:t>
            </w:r>
            <w:r>
              <w:rPr>
                <w:rFonts w:ascii="Times;serif" w:hAnsi="Times;serif"/>
                <w:color w:val="008000"/>
                <w:position w:val="7"/>
                <w:sz w:val="16"/>
                <w:sz w:val="20"/>
                <w:shd w:fill="FFFFFF" w:val="clear"/>
              </w:rPr>
              <w:t>(15)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382.6</w:t>
            </w:r>
            <w:r>
              <w:rPr>
                <w:rFonts w:ascii="Times;serif" w:hAnsi="Times;serif"/>
                <w:color w:val="008000"/>
                <w:position w:val="7"/>
                <w:sz w:val="16"/>
                <w:sz w:val="20"/>
                <w:shd w:fill="FFFFFF" w:val="clear"/>
              </w:rPr>
              <w:t>(16)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386.46</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388.38</w:t>
            </w:r>
            <w:r>
              <w:rPr>
                <w:rFonts w:ascii="Times;serif" w:hAnsi="Times;serif"/>
                <w:color w:val="008000"/>
                <w:position w:val="7"/>
                <w:sz w:val="16"/>
                <w:sz w:val="20"/>
                <w:shd w:fill="FFFFFF" w:val="clear"/>
              </w:rPr>
              <w:t>(17)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38,938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389.4</w:t>
            </w:r>
            <w:r>
              <w:rPr>
                <w:rFonts w:ascii="Times;serif" w:hAnsi="Times;serif"/>
                <w:color w:val="008000"/>
                <w:position w:val="7"/>
                <w:sz w:val="16"/>
                <w:sz w:val="20"/>
                <w:shd w:fill="FFFFFF" w:val="clear"/>
              </w:rPr>
              <w:t>(18)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391.07</w:t>
            </w:r>
            <w:r>
              <w:rPr>
                <w:rFonts w:ascii="Times;serif" w:hAnsi="Times;serif"/>
                <w:color w:val="008000"/>
                <w:position w:val="7"/>
                <w:sz w:val="16"/>
                <w:sz w:val="20"/>
                <w:shd w:fill="FFFFFF" w:val="clear"/>
              </w:rPr>
              <w:t>(19)</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38,389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pursuant to a sales plan adopted by the Reporting Person on February 27, 2026 and intended to comply with Rule 10b5-1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$357.82 to $358.66.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$358.82 to $359.75.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$359.86 to $360.75.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$361.31 to $362.24.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$362.32 to $363.31.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$363.34 to $364.32.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$364.37 to $365.34.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$366.21 to $366.58.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$367.58 to $368.53.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prices ranging from $368.81 to $369.68.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prices ranging from $373.80 to $374.67.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prices ranging from $375.08 to $375.12.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prices ranging from $378.83 to $378.88.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prices ranging from $380.93 to $381.28.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in multiple transactions at prices ranging from $382.54 to $383.13.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in multiple transactions at prices ranging from $388.01 to $388.87.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in multiple transactions at prices ranging from $389.39 to $389.44.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 shares were sold in multiple transactions at prices ranging from $391.00 to $391.18.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Ambra R. Roth,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0184" TargetMode="External"/><Relationship Id="rId5" Type="http://schemas.openxmlformats.org/officeDocument/2006/relationships/hyperlink" Target="http://www.sec.gov/cgi-bin/browse-edgar?action=getcompany&amp;CIK=00014935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2040</Words>
  <Characters>10601</Characters>
  <CharactersWithSpaces>12456</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